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3979B" w14:textId="77777777" w:rsidR="00026B13" w:rsidRDefault="00026B13" w:rsidP="00670C79">
      <w:pPr>
        <w:pStyle w:val="Title"/>
        <w:rPr>
          <w:sz w:val="24"/>
          <w:szCs w:val="24"/>
        </w:rPr>
      </w:pPr>
    </w:p>
    <w:p w14:paraId="2BA52A8F" w14:textId="2B743D98" w:rsidR="0025682E" w:rsidRDefault="00670C79" w:rsidP="00611644">
      <w:pPr>
        <w:pStyle w:val="Title"/>
        <w:rPr>
          <w:sz w:val="24"/>
          <w:szCs w:val="24"/>
        </w:rPr>
      </w:pPr>
      <w:r w:rsidRPr="00E52A87">
        <w:rPr>
          <w:sz w:val="24"/>
          <w:szCs w:val="24"/>
        </w:rPr>
        <w:t>NOTĂ DE  FUNDAMENTARE</w:t>
      </w:r>
      <w:r w:rsidR="00662E0D">
        <w:rPr>
          <w:sz w:val="24"/>
          <w:szCs w:val="24"/>
        </w:rPr>
        <w:t xml:space="preserve"> </w:t>
      </w:r>
    </w:p>
    <w:p w14:paraId="16E1A72E" w14:textId="77777777" w:rsidR="0025682E" w:rsidRPr="0025682E" w:rsidRDefault="0025682E" w:rsidP="0025682E"/>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520BE3" w:rsidRPr="00520BE3" w14:paraId="117C71DD" w14:textId="77777777" w:rsidTr="006A5A1B">
        <w:tc>
          <w:tcPr>
            <w:tcW w:w="10206" w:type="dxa"/>
          </w:tcPr>
          <w:p w14:paraId="12BCBC7C" w14:textId="10FA58DA" w:rsidR="00611644" w:rsidRPr="00520BE3" w:rsidRDefault="00611644" w:rsidP="00F8335E">
            <w:pPr>
              <w:widowControl w:val="0"/>
              <w:spacing w:line="276" w:lineRule="auto"/>
              <w:jc w:val="both"/>
              <w:rPr>
                <w:lang w:eastAsia="ro-RO"/>
              </w:rPr>
            </w:pPr>
          </w:p>
          <w:p w14:paraId="5A2835A5" w14:textId="5AD1BA92" w:rsidR="00611644" w:rsidRPr="00520BE3" w:rsidRDefault="00611644" w:rsidP="0066428B">
            <w:pPr>
              <w:pStyle w:val="Heading6"/>
              <w:spacing w:before="0" w:after="0" w:line="240" w:lineRule="auto"/>
              <w:jc w:val="center"/>
              <w:rPr>
                <w:sz w:val="24"/>
              </w:rPr>
            </w:pPr>
            <w:r w:rsidRPr="00520BE3">
              <w:rPr>
                <w:sz w:val="24"/>
              </w:rPr>
              <w:t>Secţiunea 1</w:t>
            </w:r>
          </w:p>
          <w:p w14:paraId="19B440B1" w14:textId="63C18D1E" w:rsidR="00611644" w:rsidRPr="00520BE3" w:rsidRDefault="00611644" w:rsidP="0066428B">
            <w:pPr>
              <w:pStyle w:val="Heading6"/>
              <w:spacing w:before="0" w:after="0" w:line="240" w:lineRule="auto"/>
              <w:jc w:val="center"/>
              <w:rPr>
                <w:sz w:val="24"/>
              </w:rPr>
            </w:pPr>
            <w:r w:rsidRPr="00520BE3">
              <w:rPr>
                <w:sz w:val="24"/>
              </w:rPr>
              <w:t>Titlul proiectului de act normativ</w:t>
            </w:r>
          </w:p>
          <w:p w14:paraId="134F9650" w14:textId="77777777" w:rsidR="0066428B" w:rsidRPr="00520BE3" w:rsidRDefault="0066428B" w:rsidP="0066428B"/>
          <w:p w14:paraId="338F09EC" w14:textId="637ABDAE" w:rsidR="00670C79" w:rsidRPr="00520BE3" w:rsidRDefault="00365A86" w:rsidP="000E2C2D">
            <w:pPr>
              <w:widowControl w:val="0"/>
              <w:spacing w:line="276" w:lineRule="auto"/>
              <w:jc w:val="center"/>
              <w:rPr>
                <w:b/>
                <w:lang w:eastAsia="ro-RO"/>
              </w:rPr>
            </w:pPr>
            <w:r>
              <w:rPr>
                <w:b/>
                <w:lang w:eastAsia="ro-RO"/>
              </w:rPr>
              <w:t xml:space="preserve">Ordonanţă de urgenţă </w:t>
            </w:r>
            <w:r w:rsidR="005E318B" w:rsidRPr="00634F24">
              <w:rPr>
                <w:b/>
              </w:rPr>
              <w:t xml:space="preserve">pentru completarea </w:t>
            </w:r>
            <w:r w:rsidR="00822951">
              <w:rPr>
                <w:b/>
              </w:rPr>
              <w:t>O</w:t>
            </w:r>
            <w:r w:rsidR="000E2C2D">
              <w:rPr>
                <w:b/>
              </w:rPr>
              <w:t xml:space="preserve">rdonanței de urgență a </w:t>
            </w:r>
            <w:r w:rsidR="00822951">
              <w:rPr>
                <w:b/>
              </w:rPr>
              <w:t>G</w:t>
            </w:r>
            <w:r w:rsidR="000E2C2D">
              <w:rPr>
                <w:b/>
              </w:rPr>
              <w:t>uvernului</w:t>
            </w:r>
            <w:r w:rsidR="00822951">
              <w:rPr>
                <w:b/>
              </w:rPr>
              <w:t xml:space="preserve"> nr. 40/2015 </w:t>
            </w:r>
            <w:r w:rsidR="00822951" w:rsidRPr="00B91DC1">
              <w:rPr>
                <w:b/>
              </w:rPr>
              <w:t>privind gestionarea financiară a fondurilor europene pentru perioada de programare 2014-2020</w:t>
            </w:r>
          </w:p>
        </w:tc>
      </w:tr>
    </w:tbl>
    <w:p w14:paraId="6E28D791" w14:textId="77777777" w:rsidR="00670C79" w:rsidRPr="00520BE3" w:rsidRDefault="00670C79" w:rsidP="00670C79">
      <w:pPr>
        <w:rPr>
          <w:lang w:eastAsia="ro-RO"/>
        </w:rPr>
      </w:pPr>
      <w:r w:rsidRPr="00520BE3">
        <w:rPr>
          <w:lang w:eastAsia="ro-RO"/>
        </w:rPr>
        <w:t xml:space="preserve"> </w:t>
      </w:r>
    </w:p>
    <w:p w14:paraId="659AB24A" w14:textId="398E7C98" w:rsidR="00AA6FD4" w:rsidRDefault="00670C79" w:rsidP="00670C79">
      <w:pPr>
        <w:rPr>
          <w:b/>
          <w:lang w:eastAsia="ro-RO"/>
        </w:rPr>
      </w:pPr>
      <w:r w:rsidRPr="00DB715E">
        <w:rPr>
          <w:b/>
          <w:lang w:eastAsia="ro-RO"/>
        </w:rPr>
        <w:t xml:space="preserve">   </w:t>
      </w:r>
    </w:p>
    <w:p w14:paraId="2A4E98E7" w14:textId="77777777" w:rsidR="00DB71DB" w:rsidRDefault="00DB71DB" w:rsidP="00670C79">
      <w:pPr>
        <w:rPr>
          <w:b/>
          <w:lang w:eastAsia="ro-RO"/>
        </w:rPr>
      </w:pPr>
    </w:p>
    <w:p w14:paraId="23181ACA" w14:textId="6D10FE61" w:rsidR="00CB78C4" w:rsidRDefault="00AA6FD4" w:rsidP="00670C79">
      <w:pPr>
        <w:rPr>
          <w:b/>
          <w:lang w:eastAsia="ro-RO"/>
        </w:rPr>
      </w:pPr>
      <w:r>
        <w:rPr>
          <w:b/>
          <w:lang w:eastAsia="ro-RO"/>
        </w:rPr>
        <w:t xml:space="preserve">    </w:t>
      </w:r>
      <w:r w:rsidR="007C16BF">
        <w:rPr>
          <w:b/>
          <w:lang w:eastAsia="ro-RO"/>
        </w:rPr>
        <w:t xml:space="preserve"> </w:t>
      </w:r>
      <w:r w:rsidR="00670C79" w:rsidRPr="00DB715E">
        <w:rPr>
          <w:b/>
          <w:lang w:eastAsia="ro-RO"/>
        </w:rPr>
        <w:t>Secţiunea a 2-a  Motivul emiterii actului normativ</w:t>
      </w:r>
      <w:r w:rsidR="0066428B" w:rsidRPr="00DB715E">
        <w:rPr>
          <w:b/>
          <w:lang w:eastAsia="ro-RO"/>
        </w:rPr>
        <w:t xml:space="preserve"> </w:t>
      </w:r>
    </w:p>
    <w:p w14:paraId="3FFBCA59" w14:textId="77777777" w:rsidR="00DB71DB" w:rsidRDefault="00DB71DB" w:rsidP="00670C79">
      <w:pPr>
        <w:rPr>
          <w:b/>
          <w:lang w:eastAsia="ro-RO"/>
        </w:rPr>
      </w:pPr>
    </w:p>
    <w:p w14:paraId="08569E12" w14:textId="77777777" w:rsidR="007C16BF" w:rsidRDefault="007C16BF" w:rsidP="00670C79">
      <w:pPr>
        <w:rPr>
          <w:b/>
          <w:lang w:eastAsia="ro-RO"/>
        </w:rPr>
      </w:pP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7542"/>
      </w:tblGrid>
      <w:tr w:rsidR="00520BE3" w:rsidRPr="00520BE3" w14:paraId="47D7FD1D" w14:textId="77777777" w:rsidTr="001A1D31">
        <w:trPr>
          <w:trHeight w:val="3251"/>
        </w:trPr>
        <w:tc>
          <w:tcPr>
            <w:tcW w:w="2655" w:type="dxa"/>
          </w:tcPr>
          <w:p w14:paraId="6D2299AF" w14:textId="77777777" w:rsidR="00670C79" w:rsidRPr="00520BE3" w:rsidRDefault="00670C79" w:rsidP="006A5A1B">
            <w:pPr>
              <w:pStyle w:val="BodyText2"/>
              <w:rPr>
                <w:sz w:val="24"/>
                <w:lang w:eastAsia="ro-RO"/>
              </w:rPr>
            </w:pPr>
          </w:p>
          <w:p w14:paraId="636EB141" w14:textId="77777777" w:rsidR="00670C79" w:rsidRPr="00520BE3" w:rsidRDefault="00670C79" w:rsidP="00085904">
            <w:pPr>
              <w:pStyle w:val="BodyText2"/>
              <w:rPr>
                <w:sz w:val="24"/>
                <w:lang w:eastAsia="ro-RO"/>
              </w:rPr>
            </w:pPr>
            <w:r w:rsidRPr="00520BE3">
              <w:rPr>
                <w:sz w:val="24"/>
                <w:lang w:eastAsia="ro-RO"/>
              </w:rPr>
              <w:t>1.Descrierea situaţiei actuale</w:t>
            </w:r>
          </w:p>
        </w:tc>
        <w:tc>
          <w:tcPr>
            <w:tcW w:w="7542" w:type="dxa"/>
          </w:tcPr>
          <w:p w14:paraId="22EB26FA" w14:textId="77E2A469" w:rsidR="000A71F1" w:rsidRDefault="000A71F1" w:rsidP="000A71F1">
            <w:pPr>
              <w:spacing w:before="120" w:after="120"/>
              <w:jc w:val="both"/>
              <w:rPr>
                <w:lang w:eastAsia="ro-RO"/>
              </w:rPr>
            </w:pPr>
            <w:r w:rsidRPr="00520BE3">
              <w:rPr>
                <w:lang w:eastAsia="ro-RO"/>
              </w:rPr>
              <w:t xml:space="preserve">Ordonanța de urgență a Guvernului nr. 40/2015 </w:t>
            </w:r>
            <w:r w:rsidRPr="00A87739">
              <w:rPr>
                <w:i/>
                <w:lang w:eastAsia="ro-RO"/>
              </w:rPr>
              <w:t>privind gestionarea financiară a fondurilor europene pentru perioada de programare 2014-2020</w:t>
            </w:r>
            <w:r w:rsidRPr="00520BE3">
              <w:rPr>
                <w:lang w:eastAsia="ro-RO"/>
              </w:rPr>
              <w:t>,</w:t>
            </w:r>
            <w:r w:rsidR="004B13DF" w:rsidRPr="00520BE3">
              <w:rPr>
                <w:lang w:eastAsia="ro-RO"/>
              </w:rPr>
              <w:t xml:space="preserve"> </w:t>
            </w:r>
            <w:r w:rsidR="004B13DF" w:rsidRPr="00520BE3">
              <w:rPr>
                <w:rFonts w:eastAsiaTheme="minorHAnsi"/>
                <w:iCs/>
              </w:rPr>
              <w:t>aprobată cu modificări și completări prin Legea nr. 105/2016,</w:t>
            </w:r>
            <w:r w:rsidRPr="00520BE3">
              <w:rPr>
                <w:lang w:eastAsia="ro-RO"/>
              </w:rPr>
              <w:t xml:space="preserve"> cu modificările și completările ulterioare,  stabilește cadrul financiar general pentru gestionarea asistenței financiare nerambursabile alocate României din Fondul European de Dezvoltare Regională, Fondul Social European, Fondul de Coeziune și Fondul de ajutor european destinat celor mai defavorizate persoane în perioada de programare 2014-2020, precum și a prefinanțării și cofinanțării aferente acestei asistențe, în vederea asigurării unui management financiar eficient al acestor fonduri.</w:t>
            </w:r>
          </w:p>
          <w:p w14:paraId="673FFF5A" w14:textId="537DEC15" w:rsidR="00566969" w:rsidRDefault="005D4320" w:rsidP="00566969">
            <w:pPr>
              <w:spacing w:before="120" w:after="120"/>
              <w:jc w:val="both"/>
              <w:rPr>
                <w:lang w:val="en-US" w:eastAsia="ro-RO"/>
              </w:rPr>
            </w:pPr>
            <w:r>
              <w:rPr>
                <w:lang w:eastAsia="ro-RO"/>
              </w:rPr>
              <w:t xml:space="preserve">În data de </w:t>
            </w:r>
            <w:r w:rsidR="00566969">
              <w:rPr>
                <w:lang w:eastAsia="ro-RO"/>
              </w:rPr>
              <w:t>7</w:t>
            </w:r>
            <w:r>
              <w:rPr>
                <w:lang w:eastAsia="ro-RO"/>
              </w:rPr>
              <w:t xml:space="preserve">.09.2020 a fost </w:t>
            </w:r>
            <w:r w:rsidR="00566969">
              <w:rPr>
                <w:lang w:eastAsia="ro-RO"/>
              </w:rPr>
              <w:t>publicată în Monitorul Oficial al României</w:t>
            </w:r>
            <w:r w:rsidR="002C4610">
              <w:rPr>
                <w:lang w:eastAsia="ro-RO"/>
              </w:rPr>
              <w:t xml:space="preserve"> nr. 820</w:t>
            </w:r>
            <w:r w:rsidR="00566969">
              <w:rPr>
                <w:lang w:eastAsia="ro-RO"/>
              </w:rPr>
              <w:t>,</w:t>
            </w:r>
            <w:r>
              <w:rPr>
                <w:lang w:eastAsia="ro-RO"/>
              </w:rPr>
              <w:t xml:space="preserve"> </w:t>
            </w:r>
            <w:r w:rsidRPr="000563C0">
              <w:rPr>
                <w:lang w:eastAsia="ro-RO"/>
              </w:rPr>
              <w:t xml:space="preserve">OUG nr. 156/2020 </w:t>
            </w:r>
            <w:r w:rsidRPr="000563C0">
              <w:rPr>
                <w:i/>
                <w:lang w:eastAsia="ro-RO"/>
              </w:rPr>
              <w:t>privind unele măsuri pentru susținerea dezvoltării teritoriale a localităților urbane și rurale din România cu finanțare din fonduri externe nerambursabile</w:t>
            </w:r>
            <w:r w:rsidR="00566969">
              <w:rPr>
                <w:i/>
                <w:lang w:eastAsia="ro-RO"/>
              </w:rPr>
              <w:t>.</w:t>
            </w:r>
            <w:r>
              <w:rPr>
                <w:lang w:eastAsia="ro-RO"/>
              </w:rPr>
              <w:t xml:space="preserve"> </w:t>
            </w:r>
            <w:r w:rsidR="00566969">
              <w:rPr>
                <w:lang w:eastAsia="ro-RO"/>
              </w:rPr>
              <w:t>Prin acest act normativ s-a aprobat suportarea</w:t>
            </w:r>
            <w:r w:rsidR="00566969" w:rsidRPr="000563C0">
              <w:rPr>
                <w:lang w:eastAsia="ro-RO"/>
              </w:rPr>
              <w:t xml:space="preserve"> de la bugetul de stat </w:t>
            </w:r>
            <w:r w:rsidR="00566969">
              <w:rPr>
                <w:lang w:eastAsia="ro-RO"/>
              </w:rPr>
              <w:t xml:space="preserve">a </w:t>
            </w:r>
            <w:r w:rsidR="00566969" w:rsidRPr="000563C0">
              <w:rPr>
                <w:lang w:eastAsia="ro-RO"/>
              </w:rPr>
              <w:t>cheltuielil</w:t>
            </w:r>
            <w:r w:rsidR="00566969">
              <w:rPr>
                <w:lang w:eastAsia="ro-RO"/>
              </w:rPr>
              <w:t>or</w:t>
            </w:r>
            <w:r w:rsidR="00566969" w:rsidRPr="000563C0">
              <w:rPr>
                <w:lang w:eastAsia="ro-RO"/>
              </w:rPr>
              <w:t xml:space="preserve"> neeligibile aferente proiectelor cu finanțare din fonduri externe nerambursabile care</w:t>
            </w:r>
            <w:r w:rsidR="00566969">
              <w:rPr>
                <w:lang w:val="en-US" w:eastAsia="ro-RO"/>
              </w:rPr>
              <w:t>:</w:t>
            </w:r>
          </w:p>
          <w:p w14:paraId="1D341290" w14:textId="77777777" w:rsidR="00566969" w:rsidRDefault="00566969" w:rsidP="00566969">
            <w:pPr>
              <w:spacing w:before="120" w:after="120"/>
              <w:jc w:val="both"/>
              <w:rPr>
                <w:lang w:eastAsia="ro-RO"/>
              </w:rPr>
            </w:pPr>
            <w:r>
              <w:rPr>
                <w:lang w:eastAsia="ro-RO"/>
              </w:rPr>
              <w:t>-</w:t>
            </w:r>
            <w:r w:rsidRPr="000563C0">
              <w:rPr>
                <w:lang w:eastAsia="ro-RO"/>
              </w:rPr>
              <w:t xml:space="preserve"> nu sunt rezultatul unor fraude sau nereguli constatate ca urmare a unor abateri de la prevederile legislației europene sau naționale aplicabile</w:t>
            </w:r>
            <w:r>
              <w:rPr>
                <w:lang w:eastAsia="ro-RO"/>
              </w:rPr>
              <w:t>,</w:t>
            </w:r>
            <w:r w:rsidRPr="000563C0">
              <w:rPr>
                <w:lang w:eastAsia="ro-RO"/>
              </w:rPr>
              <w:t xml:space="preserve"> </w:t>
            </w:r>
          </w:p>
          <w:p w14:paraId="71B8E33E" w14:textId="77777777" w:rsidR="00566969" w:rsidRDefault="00566969" w:rsidP="00566969">
            <w:pPr>
              <w:spacing w:before="120" w:after="120"/>
              <w:jc w:val="both"/>
              <w:rPr>
                <w:lang w:eastAsia="ro-RO"/>
              </w:rPr>
            </w:pPr>
            <w:r>
              <w:rPr>
                <w:lang w:eastAsia="ro-RO"/>
              </w:rPr>
              <w:t xml:space="preserve">- </w:t>
            </w:r>
            <w:r w:rsidRPr="009176B0">
              <w:rPr>
                <w:lang w:eastAsia="ro-RO"/>
              </w:rPr>
              <w:t>sunt prevăzute ca și cheltuieli eligibile în regulamentele europene aplicabile, fiind încadrate ca și cheltuieli neeligibile prin regulile stabilite la nivelul ghidului solicitantului,</w:t>
            </w:r>
            <w:r w:rsidRPr="000563C0">
              <w:rPr>
                <w:lang w:eastAsia="ro-RO"/>
              </w:rPr>
              <w:t xml:space="preserve"> </w:t>
            </w:r>
          </w:p>
          <w:p w14:paraId="75C47923" w14:textId="4AA6E4B8" w:rsidR="00566969" w:rsidRDefault="00566969" w:rsidP="000A71F1">
            <w:pPr>
              <w:spacing w:before="120" w:after="120"/>
              <w:jc w:val="both"/>
              <w:rPr>
                <w:lang w:eastAsia="ro-RO"/>
              </w:rPr>
            </w:pPr>
            <w:r>
              <w:rPr>
                <w:lang w:eastAsia="ro-RO"/>
              </w:rPr>
              <w:t>-</w:t>
            </w:r>
            <w:r w:rsidRPr="000563C0">
              <w:rPr>
                <w:lang w:eastAsia="ro-RO"/>
              </w:rPr>
              <w:t xml:space="preserve"> sunt necesare proiectului, fiind prevăzute în bugetul proiectului care face obiectul finanțării din fonduri externe nerambursabi</w:t>
            </w:r>
            <w:r>
              <w:rPr>
                <w:lang w:eastAsia="ro-RO"/>
              </w:rPr>
              <w:t>le ca și cheltuieli neeligibile. Aceste cheltuieli au fost</w:t>
            </w:r>
            <w:r w:rsidRPr="000563C0">
              <w:rPr>
                <w:lang w:eastAsia="ro-RO"/>
              </w:rPr>
              <w:t xml:space="preserve"> stabil</w:t>
            </w:r>
            <w:r>
              <w:rPr>
                <w:lang w:eastAsia="ro-RO"/>
              </w:rPr>
              <w:t>ite</w:t>
            </w:r>
            <w:r w:rsidRPr="000563C0">
              <w:rPr>
                <w:lang w:eastAsia="ro-RO"/>
              </w:rPr>
              <w:t xml:space="preserve"> în sarcina autorităților de management</w:t>
            </w:r>
            <w:r>
              <w:rPr>
                <w:lang w:eastAsia="ro-RO"/>
              </w:rPr>
              <w:t>,</w:t>
            </w:r>
            <w:r w:rsidRPr="000563C0">
              <w:rPr>
                <w:lang w:eastAsia="ro-RO"/>
              </w:rPr>
              <w:t xml:space="preserve"> în procent de 75% din valoarea plăților efectuate</w:t>
            </w:r>
            <w:r w:rsidR="007C16BF">
              <w:rPr>
                <w:lang w:eastAsia="ro-RO"/>
              </w:rPr>
              <w:t>.</w:t>
            </w:r>
          </w:p>
          <w:p w14:paraId="06C2667E" w14:textId="7077EAD3" w:rsidR="00A87739" w:rsidRPr="00A87739" w:rsidRDefault="00A87739" w:rsidP="000A71F1">
            <w:pPr>
              <w:spacing w:before="120" w:after="120"/>
              <w:jc w:val="both"/>
              <w:rPr>
                <w:lang w:eastAsia="ro-RO"/>
              </w:rPr>
            </w:pPr>
            <w:r>
              <w:rPr>
                <w:lang w:eastAsia="ro-RO"/>
              </w:rPr>
              <w:t xml:space="preserve">Având în vedere prevederile art. 7 din ordonanța de urgență sus-menționată, este necesară </w:t>
            </w:r>
            <w:r w:rsidRPr="00A87739">
              <w:rPr>
                <w:lang w:eastAsia="ro-RO"/>
              </w:rPr>
              <w:t>prinderea în bugetul ordonatorilor principali de credite cu rol de  autoritate de management a sumel</w:t>
            </w:r>
            <w:r w:rsidR="006A53C9">
              <w:rPr>
                <w:lang w:eastAsia="ro-RO"/>
              </w:rPr>
              <w:t>or</w:t>
            </w:r>
            <w:r w:rsidRPr="00A87739">
              <w:rPr>
                <w:lang w:eastAsia="ro-RO"/>
              </w:rPr>
              <w:t xml:space="preserve"> necesare asigurării cheltuielilor neeligibile aferente proiectelor cu finanțare din fonduri externe nerambursabile stabilite, potrivit legii, în sarcina autorităților de </w:t>
            </w:r>
            <w:r w:rsidRPr="00A87739">
              <w:rPr>
                <w:lang w:eastAsia="ro-RO"/>
              </w:rPr>
              <w:lastRenderedPageBreak/>
              <w:t>management</w:t>
            </w:r>
            <w:r>
              <w:rPr>
                <w:lang w:eastAsia="ro-RO"/>
              </w:rPr>
              <w:t>. Astfel, se impune completarea art. 9 din OUG nr. 40/2015, cu modificările și completările ulterioare</w:t>
            </w:r>
            <w:r w:rsidR="00724EF9">
              <w:rPr>
                <w:lang w:eastAsia="ro-RO"/>
              </w:rPr>
              <w:t xml:space="preserve">, prin introducerea </w:t>
            </w:r>
            <w:r w:rsidR="00724EF9" w:rsidRPr="009176B0">
              <w:rPr>
                <w:lang w:eastAsia="ro-RO"/>
              </w:rPr>
              <w:t>literei „ț”.</w:t>
            </w:r>
          </w:p>
          <w:p w14:paraId="10B5BCAD" w14:textId="77777777" w:rsidR="00B72438" w:rsidRDefault="00B72438" w:rsidP="00B72438">
            <w:pPr>
              <w:jc w:val="both"/>
            </w:pPr>
            <w:r w:rsidRPr="00520BE3">
              <w:t xml:space="preserve">Ținând cont de faptul că pregătirea, elaborarea și aprobarea documentațiilor tehnico-economice pentru proiectele de infrastructură din domenii de importanță strategică pentru România cum sunt: infrastructura de transport, inclusiv transport intermodal, necesită perioade de timp de aproximativ 2-3 ani, elaborarea acestora </w:t>
            </w:r>
            <w:r w:rsidRPr="003545B2">
              <w:t>trebuie</w:t>
            </w:r>
            <w:r w:rsidRPr="00520BE3">
              <w:t xml:space="preserve"> demarată </w:t>
            </w:r>
            <w:r>
              <w:t>anterior</w:t>
            </w:r>
            <w:r w:rsidRPr="00520BE3">
              <w:t xml:space="preserve"> aprobării programelor operaționale (pentru perioada de programare 2021-2027) pentru a se asigura</w:t>
            </w:r>
            <w:r>
              <w:t>,</w:t>
            </w:r>
            <w:r w:rsidRPr="00520BE3">
              <w:t xml:space="preserve"> ȋn timp util</w:t>
            </w:r>
            <w:r>
              <w:t>,</w:t>
            </w:r>
            <w:r w:rsidRPr="00520BE3">
              <w:t xml:space="preserve"> un portofoliu de proiecte cât mai matur pentru a se diminua astfel  riscul de dezangajare la sfârșitul anului 2023.</w:t>
            </w:r>
          </w:p>
          <w:p w14:paraId="54EF0D77" w14:textId="71E48387" w:rsidR="00B72438" w:rsidRDefault="00B72438" w:rsidP="00B72438">
            <w:pPr>
              <w:jc w:val="both"/>
            </w:pPr>
            <w:r w:rsidRPr="00520BE3">
              <w:t>In acest context, în scopul susținerii activității CNAIR și CNCFR, au fost identificate soluții pentru pregătirea într-un termen optim a proiectelor, fiind luat în considerare faptul că unitățile administrativ teritoriale au demonstrat în multe cazuri o performanță ridicată în pregătirea de proiecte cu finanțare europeană, precum și în implementarea acestora. De asemenea, unitățile administrativ teritoriale au un interes crescut în dezvoltarea infrastructurii de transport care să asigure legăturile la TEN-T,  precum și pentru dezvoltarea de proiecte de transport intermodal. </w:t>
            </w:r>
          </w:p>
          <w:p w14:paraId="3297C181" w14:textId="72E08280" w:rsidR="009009A6" w:rsidRPr="00B72438" w:rsidRDefault="00B72438" w:rsidP="00972192">
            <w:pPr>
              <w:jc w:val="both"/>
              <w:rPr>
                <w:lang w:eastAsia="ro-RO"/>
              </w:rPr>
            </w:pPr>
            <w:r>
              <w:rPr>
                <w:lang w:eastAsia="ro-RO"/>
              </w:rPr>
              <w:t>Astfel, î</w:t>
            </w:r>
            <w:r w:rsidR="009009A6">
              <w:rPr>
                <w:lang w:eastAsia="ro-RO"/>
              </w:rPr>
              <w:t xml:space="preserve">n data de 29.05.2020 a fost publicată în Monitorul Oficial al României nr. 458, </w:t>
            </w:r>
            <w:r w:rsidR="009009A6" w:rsidRPr="000563C0">
              <w:rPr>
                <w:lang w:eastAsia="ro-RO"/>
              </w:rPr>
              <w:t xml:space="preserve">OUG nr. </w:t>
            </w:r>
            <w:r w:rsidR="009009A6">
              <w:rPr>
                <w:lang w:eastAsia="ro-RO"/>
              </w:rPr>
              <w:t>88</w:t>
            </w:r>
            <w:r w:rsidR="009009A6" w:rsidRPr="000563C0">
              <w:rPr>
                <w:lang w:eastAsia="ro-RO"/>
              </w:rPr>
              <w:t xml:space="preserve">/2020 </w:t>
            </w:r>
            <w:r w:rsidR="00757DD1" w:rsidRPr="00E85FC6">
              <w:rPr>
                <w:i/>
              </w:rPr>
              <w:t>privind instituirea unor măsuri, precum și acordarea unui sprijin financiar pentru pregătirea portofoliului de proiecte în domenii strategice considerate prioritare pentru perioada de programare 2021-2027, destinat finanțării prin Programul operați</w:t>
            </w:r>
            <w:r w:rsidR="00757DD1">
              <w:rPr>
                <w:i/>
              </w:rPr>
              <w:t>onal Asistență tehnică 2014-2020</w:t>
            </w:r>
            <w:r w:rsidR="00757DD1" w:rsidRPr="00E85FC6">
              <w:rPr>
                <w:i/>
              </w:rPr>
              <w:t xml:space="preserve"> (POAT 2014-2020) și Programul operațional Infrastructură mare 2014-2020 (POIM)</w:t>
            </w:r>
            <w:r w:rsidR="00757DD1">
              <w:rPr>
                <w:i/>
              </w:rPr>
              <w:t>.</w:t>
            </w:r>
            <w:r>
              <w:t xml:space="preserve"> Prin acest </w:t>
            </w:r>
            <w:r w:rsidRPr="006A53C9">
              <w:t>act normativ</w:t>
            </w:r>
            <w:r>
              <w:t xml:space="preserve"> s-a aprobat ca </w:t>
            </w:r>
            <w:r w:rsidR="007D59C7" w:rsidRPr="007D59C7">
              <w:t xml:space="preserve">unitățile administrativ teritoriale/asociațiile de dezvoltare intercomunitară / </w:t>
            </w:r>
            <w:r w:rsidR="00C129DE">
              <w:t>parteneriatel</w:t>
            </w:r>
            <w:r w:rsidR="004A51ED">
              <w:t>e</w:t>
            </w:r>
            <w:r w:rsidR="007D59C7" w:rsidRPr="007D59C7">
              <w:t xml:space="preserve"> dintre </w:t>
            </w:r>
            <w:r w:rsidR="006A53C9" w:rsidRPr="007D59C7">
              <w:t>ace</w:t>
            </w:r>
            <w:r w:rsidR="006A53C9">
              <w:t xml:space="preserve">stea </w:t>
            </w:r>
            <w:r w:rsidR="007D59C7">
              <w:t xml:space="preserve">vor asigura pregătirea </w:t>
            </w:r>
            <w:r w:rsidR="007D59C7" w:rsidRPr="00520BE3">
              <w:t xml:space="preserve">documentațiilor tehnico-economice pentru </w:t>
            </w:r>
            <w:r w:rsidR="007D59C7">
              <w:t>obiectivele de investiții în domeniul</w:t>
            </w:r>
            <w:r w:rsidR="007D59C7" w:rsidRPr="00520BE3">
              <w:t xml:space="preserve"> infrastructur</w:t>
            </w:r>
            <w:r w:rsidR="007D59C7">
              <w:t>ii</w:t>
            </w:r>
            <w:r w:rsidR="007D59C7" w:rsidRPr="00520BE3">
              <w:t xml:space="preserve"> de transport</w:t>
            </w:r>
            <w:r w:rsidR="007D59C7">
              <w:t xml:space="preserve"> care se vor implementa în perioada de programare 2021-2027.</w:t>
            </w:r>
          </w:p>
          <w:p w14:paraId="7ACCC733" w14:textId="1082ABEB" w:rsidR="00822951" w:rsidRDefault="00822951" w:rsidP="00822951">
            <w:pPr>
              <w:jc w:val="both"/>
            </w:pPr>
            <w:r w:rsidRPr="00006F20">
              <w:t xml:space="preserve">În data de 7.07.2020, Comisia Europeană a emis Decizia de implementare nr. C(2020) 4680 final </w:t>
            </w:r>
            <w:r w:rsidRPr="00006F20">
              <w:rPr>
                <w:i/>
              </w:rPr>
              <w:t>pentru modificarea Deciziei de Implementare C(2015) 4823 privind aprobarea anumitor elemente ale POIM pentru finanțarea din Fondul de Dezvoltare Regională și Fondul de Coeziune în cadrul Investițiilor în creștere economică și locuri de muncă în România</w:t>
            </w:r>
            <w:r w:rsidRPr="00006F20">
              <w:t>. Prin această Decizie s-a aprobat, ca urmare a modificării programului operațional „Infrastructură mare”, eligibilitatea, începând cu data</w:t>
            </w:r>
            <w:r w:rsidR="003F7AF4">
              <w:t xml:space="preserve"> de 5 iunie 2020, a cheltuielilor</w:t>
            </w:r>
            <w:r w:rsidRPr="00006F20">
              <w:t xml:space="preserve"> care nu sunt în legătură cu operațiunile care favorizează capacitățile de răspuns la criză în contextul focarului COVID-19. Totodată, ca urmare a modificării POIM prin Decizia CE C(2020) 4680 final / 7.7.2020, unitățile administrativ teritoriale (autorități publice locale) au devenit beneficiari POIM pe axele prioritare 1 și 2 vizând infrastructura de transport.</w:t>
            </w:r>
          </w:p>
          <w:p w14:paraId="3F1E8893" w14:textId="57F859DD" w:rsidR="007D59C7" w:rsidRPr="001A1D31" w:rsidRDefault="007D59C7" w:rsidP="00822951">
            <w:pPr>
              <w:jc w:val="both"/>
            </w:pPr>
            <w:r>
              <w:t>În data de 26.06.2020</w:t>
            </w:r>
            <w:r>
              <w:rPr>
                <w:lang w:eastAsia="ro-RO"/>
              </w:rPr>
              <w:t xml:space="preserve"> a fost publicată în Monitorul Oficial al României nr. 559, </w:t>
            </w:r>
            <w:r w:rsidRPr="000563C0">
              <w:rPr>
                <w:lang w:eastAsia="ro-RO"/>
              </w:rPr>
              <w:t xml:space="preserve">OUG nr. </w:t>
            </w:r>
            <w:r>
              <w:rPr>
                <w:lang w:eastAsia="ro-RO"/>
              </w:rPr>
              <w:t>101</w:t>
            </w:r>
            <w:r w:rsidRPr="000563C0">
              <w:rPr>
                <w:lang w:eastAsia="ro-RO"/>
              </w:rPr>
              <w:t>/2020</w:t>
            </w:r>
            <w:r>
              <w:rPr>
                <w:lang w:eastAsia="ro-RO"/>
              </w:rPr>
              <w:t xml:space="preserve"> </w:t>
            </w:r>
            <w:r w:rsidRPr="007D59C7">
              <w:rPr>
                <w:i/>
                <w:lang w:eastAsia="ro-RO"/>
              </w:rPr>
              <w:t>privind unele măsuri pentru implementarea proiectelor cu finanțare din fonduri europene în vederea evitării riscului de dezangajare pentru perioada de programare 2014-2020</w:t>
            </w:r>
            <w:r>
              <w:rPr>
                <w:i/>
                <w:lang w:eastAsia="ro-RO"/>
              </w:rPr>
              <w:t>.</w:t>
            </w:r>
            <w:r w:rsidR="001A1D31">
              <w:rPr>
                <w:lang w:eastAsia="ro-RO"/>
              </w:rPr>
              <w:t xml:space="preserve"> Prin acest act normativ s-a aprobat i</w:t>
            </w:r>
            <w:r w:rsidR="001A1D31" w:rsidRPr="001A1D31">
              <w:rPr>
                <w:lang w:eastAsia="ro-RO"/>
              </w:rPr>
              <w:t xml:space="preserve">mplementarea proiectelor de infrastructură finanțate din fonduri europene, de către unități administrativ-teritoriale (UAT), </w:t>
            </w:r>
            <w:r w:rsidR="001A1D31" w:rsidRPr="001A1D31">
              <w:rPr>
                <w:lang w:eastAsia="ro-RO"/>
              </w:rPr>
              <w:lastRenderedPageBreak/>
              <w:t>Asociațiile de Dezvoltare Intercomunitare (ADI) sau de către acestea în parteneriat cu CNAIR. Lista proiectelor pentru care se va delega implementarea către unități administrativ-teritoriale se va aproba prin ordin al ministrului transporturilor, infrastructurii și comunicațiilor, cu avizul Ministerului Fondurilor Europene</w:t>
            </w:r>
            <w:r w:rsidR="001A1D31">
              <w:rPr>
                <w:lang w:eastAsia="ro-RO"/>
              </w:rPr>
              <w:t>.</w:t>
            </w:r>
          </w:p>
          <w:p w14:paraId="45862F79" w14:textId="5B3D3F2A" w:rsidR="00AA6FD4" w:rsidRPr="00DC7E22" w:rsidRDefault="001A1D31" w:rsidP="00843606">
            <w:pPr>
              <w:jc w:val="both"/>
              <w:rPr>
                <w:lang w:eastAsia="ro-RO"/>
              </w:rPr>
            </w:pPr>
            <w:r>
              <w:t xml:space="preserve">Pentru implementarea prevederilor din actele normative sus-menționate, </w:t>
            </w:r>
            <w:r w:rsidR="00B30D09" w:rsidRPr="00520BE3">
              <w:t xml:space="preserve">este necesară cuprinderea în </w:t>
            </w:r>
            <w:r w:rsidR="00D60B36">
              <w:t>bugetul ordonatorului principal de credite cu rol de Organismului intermediar de transport</w:t>
            </w:r>
            <w:r w:rsidR="00B30D09" w:rsidRPr="00520BE3">
              <w:t xml:space="preserve"> a creditelor de angajament şi a creditelor bugetare aferente valorii totale a proiectelor din domeniul transporturilor pentru </w:t>
            </w:r>
            <w:r w:rsidR="0080159B">
              <w:t>care unitățile</w:t>
            </w:r>
            <w:r w:rsidR="0080159B" w:rsidRPr="0080159B">
              <w:t xml:space="preserve"> admini</w:t>
            </w:r>
            <w:r w:rsidR="0080159B">
              <w:t>strativ-teritoriale/asociațiile</w:t>
            </w:r>
            <w:r w:rsidR="0080159B" w:rsidRPr="0080159B">
              <w:t xml:space="preserve"> de dezvol</w:t>
            </w:r>
            <w:r w:rsidR="0080159B">
              <w:t>tare intercomunitară/</w:t>
            </w:r>
            <w:r w:rsidR="00C129DE">
              <w:t>parteneriatele</w:t>
            </w:r>
            <w:r w:rsidR="0080159B" w:rsidRPr="0080159B">
              <w:t xml:space="preserve"> dintre acestea</w:t>
            </w:r>
            <w:r w:rsidR="0080159B">
              <w:t xml:space="preserve"> au calitatea de beneficiar</w:t>
            </w:r>
            <w:r w:rsidR="0067280E">
              <w:t>,</w:t>
            </w:r>
            <w:r w:rsidR="0080159B">
              <w:t xml:space="preserve"> implementează proiecte în parteneriat cu </w:t>
            </w:r>
            <w:r w:rsidR="0080159B" w:rsidRPr="0080159B">
              <w:t>C</w:t>
            </w:r>
            <w:r w:rsidR="0080159B">
              <w:t>N</w:t>
            </w:r>
            <w:r w:rsidR="0080159B" w:rsidRPr="0080159B">
              <w:t xml:space="preserve">AIR </w:t>
            </w:r>
            <w:r w:rsidR="0080159B">
              <w:t>sau</w:t>
            </w:r>
            <w:r w:rsidR="0080159B" w:rsidRPr="0080159B">
              <w:t xml:space="preserve"> CNCFR</w:t>
            </w:r>
            <w:r w:rsidR="0067280E">
              <w:t xml:space="preserve"> sau pe bază de protocol de implementare încheiat cu CNAIR</w:t>
            </w:r>
            <w:r w:rsidR="00B30D09" w:rsidRPr="00520BE3">
              <w:t xml:space="preserve">. </w:t>
            </w:r>
          </w:p>
        </w:tc>
      </w:tr>
      <w:tr w:rsidR="009F22AF" w:rsidRPr="00520BE3" w14:paraId="63A0FC7D" w14:textId="77777777" w:rsidTr="0016785A">
        <w:tc>
          <w:tcPr>
            <w:tcW w:w="2655" w:type="dxa"/>
          </w:tcPr>
          <w:p w14:paraId="4DA13CEC" w14:textId="78C8A487" w:rsidR="009F22AF" w:rsidRPr="00520BE3" w:rsidRDefault="009F22AF" w:rsidP="006A5A1B">
            <w:pPr>
              <w:jc w:val="both"/>
              <w:rPr>
                <w:lang w:eastAsia="ro-RO"/>
              </w:rPr>
            </w:pPr>
            <w:r w:rsidRPr="009F22AF">
              <w:rPr>
                <w:lang w:eastAsia="ro-RO"/>
              </w:rPr>
              <w:lastRenderedPageBreak/>
              <w:t>1</w:t>
            </w:r>
            <w:r>
              <w:rPr>
                <w:vertAlign w:val="superscript"/>
                <w:lang w:eastAsia="ro-RO"/>
              </w:rPr>
              <w:t>1</w:t>
            </w:r>
            <w:r w:rsidRPr="009F22AF">
              <w:rPr>
                <w:lang w:eastAsia="ro-RO"/>
              </w:rPr>
              <w:t xml:space="preserve"> În cazul proiectelor de acte normative care transpun legislaţie comunitară sau creează cadrul pentru aplicarea directă a acesteia, se vor specifica doar actele comunitare în cauză, însoţite de elementele de identificare ale acestora.</w:t>
            </w:r>
            <w:r w:rsidRPr="009F22AF">
              <w:rPr>
                <w:lang w:eastAsia="ro-RO"/>
              </w:rPr>
              <w:tab/>
            </w:r>
          </w:p>
        </w:tc>
        <w:tc>
          <w:tcPr>
            <w:tcW w:w="7542" w:type="dxa"/>
          </w:tcPr>
          <w:p w14:paraId="3DAAFC61" w14:textId="1E3E1EB4" w:rsidR="009F22AF" w:rsidRPr="00520BE3" w:rsidRDefault="009F22AF" w:rsidP="00E85FC6">
            <w:pPr>
              <w:spacing w:before="120" w:after="120"/>
              <w:jc w:val="both"/>
            </w:pPr>
            <w:r w:rsidRPr="009F22AF">
              <w:t>Proiectul de act normativ nu se referă la acest subiect.</w:t>
            </w:r>
          </w:p>
        </w:tc>
      </w:tr>
      <w:tr w:rsidR="00520BE3" w:rsidRPr="00520BE3" w14:paraId="5E9CE6CD" w14:textId="77777777" w:rsidTr="0016785A">
        <w:trPr>
          <w:trHeight w:val="983"/>
        </w:trPr>
        <w:tc>
          <w:tcPr>
            <w:tcW w:w="2655" w:type="dxa"/>
          </w:tcPr>
          <w:p w14:paraId="78E5EC29" w14:textId="77777777" w:rsidR="00670C79" w:rsidRPr="00520BE3" w:rsidRDefault="00670C79" w:rsidP="006A5A1B">
            <w:pPr>
              <w:jc w:val="both"/>
              <w:rPr>
                <w:lang w:eastAsia="ro-RO"/>
              </w:rPr>
            </w:pPr>
            <w:r w:rsidRPr="00520BE3">
              <w:rPr>
                <w:lang w:eastAsia="ro-RO"/>
              </w:rPr>
              <w:t>2.Schimbări preconizate</w:t>
            </w:r>
          </w:p>
        </w:tc>
        <w:tc>
          <w:tcPr>
            <w:tcW w:w="7542" w:type="dxa"/>
          </w:tcPr>
          <w:p w14:paraId="7103AA73" w14:textId="41AF842F" w:rsidR="00724EF9" w:rsidRDefault="00724EF9" w:rsidP="00E85FC6">
            <w:pPr>
              <w:spacing w:before="120" w:after="120"/>
              <w:jc w:val="both"/>
            </w:pPr>
            <w:r w:rsidRPr="00724EF9">
              <w:t xml:space="preserve">Este necesară prinderea în bugetul ordonatorilor principali de credite cu rol de  autoritate de management a   sumele necesare asigurării cheltuielilor neeligibile aferente proiectelor cu finanțare din fonduri externe nerambursabile stabilite, potrivit legii, în sarcina autorităților de management reglementate prin art. 7 din OUG nr. 156/2020 </w:t>
            </w:r>
            <w:r w:rsidRPr="00584BC8">
              <w:rPr>
                <w:i/>
              </w:rPr>
              <w:t xml:space="preserve">privind unele măsuri pentru </w:t>
            </w:r>
            <w:r w:rsidR="00584BC8" w:rsidRPr="00584BC8">
              <w:rPr>
                <w:i/>
              </w:rPr>
              <w:t>susținerea</w:t>
            </w:r>
            <w:r w:rsidRPr="00584BC8">
              <w:rPr>
                <w:i/>
              </w:rPr>
              <w:t xml:space="preserve"> dezvoltării teritoriale a </w:t>
            </w:r>
            <w:r w:rsidR="00584BC8" w:rsidRPr="00584BC8">
              <w:rPr>
                <w:i/>
              </w:rPr>
              <w:t>localităților</w:t>
            </w:r>
            <w:r w:rsidRPr="00584BC8">
              <w:rPr>
                <w:i/>
              </w:rPr>
              <w:t xml:space="preserve"> urbane </w:t>
            </w:r>
            <w:r w:rsidR="00584BC8" w:rsidRPr="00584BC8">
              <w:rPr>
                <w:i/>
              </w:rPr>
              <w:t>și</w:t>
            </w:r>
            <w:r w:rsidRPr="00584BC8">
              <w:rPr>
                <w:i/>
              </w:rPr>
              <w:t xml:space="preserve"> rurale din România cu </w:t>
            </w:r>
            <w:r w:rsidR="00584BC8" w:rsidRPr="00584BC8">
              <w:rPr>
                <w:i/>
              </w:rPr>
              <w:t>finanțare</w:t>
            </w:r>
            <w:r w:rsidRPr="00584BC8">
              <w:rPr>
                <w:i/>
              </w:rPr>
              <w:t xml:space="preserve"> din fonduri externe nerambursabile.</w:t>
            </w:r>
          </w:p>
          <w:p w14:paraId="34BEDF63" w14:textId="43B1C52D" w:rsidR="00635197" w:rsidRPr="00426482" w:rsidRDefault="00D93260" w:rsidP="00724EF9">
            <w:pPr>
              <w:spacing w:before="120" w:after="120"/>
              <w:jc w:val="both"/>
              <w:rPr>
                <w:lang w:eastAsia="ro-RO"/>
              </w:rPr>
            </w:pPr>
            <w:r w:rsidRPr="00520BE3">
              <w:t xml:space="preserve">Având în vedere </w:t>
            </w:r>
            <w:r w:rsidR="00E85FC6">
              <w:t>aprobarea OUG</w:t>
            </w:r>
            <w:r w:rsidR="00D4461C">
              <w:t xml:space="preserve"> nr.</w:t>
            </w:r>
            <w:r w:rsidR="00E85FC6">
              <w:t xml:space="preserve"> 88/2020</w:t>
            </w:r>
            <w:r w:rsidR="00584BC8">
              <w:t xml:space="preserve"> și a OUG nr. 101/2020</w:t>
            </w:r>
            <w:r w:rsidR="00E85FC6">
              <w:t xml:space="preserve">, </w:t>
            </w:r>
            <w:r w:rsidR="008E56F8">
              <w:t xml:space="preserve">se impune </w:t>
            </w:r>
            <w:r w:rsidR="00D60B36" w:rsidRPr="00520BE3">
              <w:t xml:space="preserve">cuprinderea în </w:t>
            </w:r>
            <w:r w:rsidR="00D60B36">
              <w:t>bugetul ordonatorului principal de credite cu rol de Organismului intermediar de transport</w:t>
            </w:r>
            <w:r w:rsidR="00D60B36" w:rsidRPr="00520BE3">
              <w:t xml:space="preserve"> a creditelor de angajament şi a creditelor bugetare aferente valorii totale a proiectelor din domeniul transporturilor pentru </w:t>
            </w:r>
            <w:r w:rsidR="00D60B36">
              <w:t xml:space="preserve"> care unitățile</w:t>
            </w:r>
            <w:r w:rsidR="00D60B36" w:rsidRPr="0080159B">
              <w:t xml:space="preserve"> admini</w:t>
            </w:r>
            <w:r w:rsidR="00D60B36">
              <w:t>strativ-teritoriale/asociațiile</w:t>
            </w:r>
            <w:r w:rsidR="00D60B36" w:rsidRPr="0080159B">
              <w:t xml:space="preserve"> de dezvol</w:t>
            </w:r>
            <w:r w:rsidR="00D60B36">
              <w:t>tare intercomunitară/</w:t>
            </w:r>
            <w:r w:rsidR="00C129DE">
              <w:t>parteneriatele</w:t>
            </w:r>
            <w:r w:rsidR="00D60B36" w:rsidRPr="0080159B">
              <w:t xml:space="preserve"> dintre acestea</w:t>
            </w:r>
            <w:r w:rsidR="00D60B36">
              <w:t xml:space="preserve"> au calitatea de beneficiar</w:t>
            </w:r>
            <w:r w:rsidR="00787457" w:rsidRPr="00520BE3">
              <w:rPr>
                <w:lang w:eastAsia="ro-RO"/>
              </w:rPr>
              <w:t xml:space="preserve">, în regim de urgență, </w:t>
            </w:r>
            <w:r w:rsidR="00D60B36">
              <w:rPr>
                <w:lang w:eastAsia="ro-RO"/>
              </w:rPr>
              <w:t xml:space="preserve">prin completarea </w:t>
            </w:r>
            <w:r w:rsidR="00E61936" w:rsidRPr="00520BE3">
              <w:rPr>
                <w:lang w:eastAsia="ro-RO"/>
              </w:rPr>
              <w:t xml:space="preserve">OUG nr. 40/2015, </w:t>
            </w:r>
            <w:r w:rsidR="00E61936" w:rsidRPr="00520BE3">
              <w:rPr>
                <w:rFonts w:eastAsiaTheme="minorHAnsi"/>
                <w:iCs/>
              </w:rPr>
              <w:t>aprobată cu modificări și completări prin Legea nr. 105/2016,</w:t>
            </w:r>
            <w:r w:rsidR="00E61936" w:rsidRPr="00520BE3">
              <w:rPr>
                <w:lang w:eastAsia="ro-RO"/>
              </w:rPr>
              <w:t xml:space="preserve"> cu modificările și completările ulterioare</w:t>
            </w:r>
            <w:r w:rsidR="00E61936">
              <w:rPr>
                <w:lang w:eastAsia="ro-RO"/>
              </w:rPr>
              <w:t>,</w:t>
            </w:r>
            <w:r w:rsidR="00E61936" w:rsidRPr="00520BE3">
              <w:rPr>
                <w:lang w:eastAsia="ro-RO"/>
              </w:rPr>
              <w:t xml:space="preserve"> </w:t>
            </w:r>
            <w:r w:rsidR="00D60B36">
              <w:rPr>
                <w:lang w:eastAsia="ro-RO"/>
              </w:rPr>
              <w:t xml:space="preserve">cu prevederea de  la art. 9^2 din prezentul act normativ, </w:t>
            </w:r>
            <w:r w:rsidR="00787457" w:rsidRPr="00520BE3">
              <w:rPr>
                <w:lang w:eastAsia="ro-RO"/>
              </w:rPr>
              <w:t xml:space="preserve">în scopul </w:t>
            </w:r>
            <w:r w:rsidR="00267571">
              <w:rPr>
                <w:lang w:eastAsia="ro-RO"/>
              </w:rPr>
              <w:t>derulării prin</w:t>
            </w:r>
            <w:r w:rsidR="00787457" w:rsidRPr="00520BE3">
              <w:rPr>
                <w:lang w:eastAsia="ro-RO"/>
              </w:rPr>
              <w:t xml:space="preserve"> bugetul </w:t>
            </w:r>
            <w:r w:rsidR="00787457" w:rsidRPr="00520BE3">
              <w:t xml:space="preserve">Ministerului Transporturilor, Infrastructurii şi </w:t>
            </w:r>
            <w:r w:rsidR="00267571" w:rsidRPr="00520BE3">
              <w:t>Comunicațiilor</w:t>
            </w:r>
            <w:r w:rsidR="00267571">
              <w:t xml:space="preserve"> </w:t>
            </w:r>
            <w:r w:rsidR="00267571">
              <w:rPr>
                <w:lang w:eastAsia="ro-RO"/>
              </w:rPr>
              <w:t>a</w:t>
            </w:r>
            <w:r w:rsidR="00787457" w:rsidRPr="00520BE3">
              <w:rPr>
                <w:lang w:eastAsia="ro-RO"/>
              </w:rPr>
              <w:t xml:space="preserve"> proiectelor </w:t>
            </w:r>
            <w:r w:rsidR="00267571">
              <w:rPr>
                <w:lang w:eastAsia="ro-RO"/>
              </w:rPr>
              <w:t xml:space="preserve">din domeniul transporturilor finanțate prin POIM și </w:t>
            </w:r>
            <w:r w:rsidR="00787457" w:rsidRPr="00520BE3">
              <w:rPr>
                <w:lang w:eastAsia="ro-RO"/>
              </w:rPr>
              <w:t xml:space="preserve">derulate </w:t>
            </w:r>
            <w:r w:rsidR="000C4A4F">
              <w:rPr>
                <w:lang w:eastAsia="ro-RO"/>
              </w:rPr>
              <w:t xml:space="preserve">de </w:t>
            </w:r>
            <w:r w:rsidR="00787457" w:rsidRPr="00520BE3">
              <w:t xml:space="preserve">unitățile </w:t>
            </w:r>
            <w:r w:rsidR="00905E05">
              <w:t xml:space="preserve">administrativ </w:t>
            </w:r>
            <w:r w:rsidR="00787457" w:rsidRPr="00520BE3">
              <w:t>teritoriale/ asociațiile de dezvoltare intercomunitară</w:t>
            </w:r>
            <w:r w:rsidR="00905E05">
              <w:t xml:space="preserve">/ </w:t>
            </w:r>
            <w:r w:rsidR="00C129DE">
              <w:t>parteneriatel</w:t>
            </w:r>
            <w:r w:rsidR="004A51ED">
              <w:t>e</w:t>
            </w:r>
            <w:r w:rsidR="00905E05">
              <w:t xml:space="preserve"> dintre acestea</w:t>
            </w:r>
            <w:r w:rsidR="00787457" w:rsidRPr="00520BE3">
              <w:rPr>
                <w:lang w:eastAsia="ro-RO"/>
              </w:rPr>
              <w:t>.</w:t>
            </w:r>
            <w:r w:rsidR="00002E4A">
              <w:rPr>
                <w:lang w:eastAsia="ro-RO"/>
              </w:rPr>
              <w:t xml:space="preserve"> </w:t>
            </w:r>
            <w:r w:rsidR="00002E4A" w:rsidRPr="00426482">
              <w:rPr>
                <w:lang w:eastAsia="ro-RO"/>
              </w:rPr>
              <w:t xml:space="preserve">Neadoptarea acestei </w:t>
            </w:r>
            <w:r w:rsidR="002C3361">
              <w:rPr>
                <w:lang w:eastAsia="ro-RO"/>
              </w:rPr>
              <w:t>reglementări</w:t>
            </w:r>
            <w:r w:rsidR="00BD0CCE" w:rsidRPr="00426482">
              <w:rPr>
                <w:lang w:eastAsia="ro-RO"/>
              </w:rPr>
              <w:t>, în regim de urgență,</w:t>
            </w:r>
            <w:r w:rsidR="00002E4A" w:rsidRPr="00426482">
              <w:rPr>
                <w:lang w:eastAsia="ro-RO"/>
              </w:rPr>
              <w:t xml:space="preserve"> conduce la imposibilitatea</w:t>
            </w:r>
            <w:r w:rsidR="00BD0CCE" w:rsidRPr="00426482">
              <w:rPr>
                <w:lang w:eastAsia="ro-RO"/>
              </w:rPr>
              <w:t xml:space="preserve"> aplicării</w:t>
            </w:r>
            <w:r w:rsidR="00002E4A" w:rsidRPr="00426482">
              <w:rPr>
                <w:lang w:eastAsia="ro-RO"/>
              </w:rPr>
              <w:t xml:space="preserve"> prevederil</w:t>
            </w:r>
            <w:r w:rsidR="00BD0CCE" w:rsidRPr="00426482">
              <w:rPr>
                <w:lang w:eastAsia="ro-RO"/>
              </w:rPr>
              <w:t>or</w:t>
            </w:r>
            <w:r w:rsidR="00002E4A" w:rsidRPr="00426482">
              <w:rPr>
                <w:lang w:eastAsia="ro-RO"/>
              </w:rPr>
              <w:t xml:space="preserve"> </w:t>
            </w:r>
            <w:r w:rsidR="00002E4A" w:rsidRPr="00426482">
              <w:t>OUG nr. 88/2020 și a OUG nr. 101/2020</w:t>
            </w:r>
            <w:r w:rsidR="00BD0CCE" w:rsidRPr="00426482">
              <w:t xml:space="preserve"> și creează</w:t>
            </w:r>
            <w:r w:rsidR="00002E4A" w:rsidRPr="00426482">
              <w:rPr>
                <w:lang w:eastAsia="ro-RO"/>
              </w:rPr>
              <w:t xml:space="preserve"> </w:t>
            </w:r>
            <w:r w:rsidR="00BD0CCE" w:rsidRPr="00426482">
              <w:rPr>
                <w:lang w:eastAsia="ro-RO"/>
              </w:rPr>
              <w:t>blocaje</w:t>
            </w:r>
            <w:r w:rsidR="00002E4A" w:rsidRPr="00426482">
              <w:rPr>
                <w:lang w:eastAsia="ro-RO"/>
              </w:rPr>
              <w:t xml:space="preserve"> în pregătirea următoarei perioade de programare</w:t>
            </w:r>
            <w:r w:rsidR="00881537" w:rsidRPr="00426482">
              <w:rPr>
                <w:lang w:eastAsia="ro-RO"/>
              </w:rPr>
              <w:t>.</w:t>
            </w:r>
          </w:p>
          <w:p w14:paraId="07CA5591" w14:textId="5E65BE51" w:rsidR="00B87179" w:rsidRPr="00426482" w:rsidRDefault="00B87179" w:rsidP="00B87179">
            <w:pPr>
              <w:jc w:val="both"/>
            </w:pPr>
            <w:r w:rsidRPr="00426482">
              <w:rPr>
                <w:lang w:eastAsia="ro-RO"/>
              </w:rPr>
              <w:lastRenderedPageBreak/>
              <w:t>In consecință, d</w:t>
            </w:r>
            <w:r w:rsidRPr="00426482">
              <w:t>eoarece riscul de dezangajare este concentrat în cea mai mare parte în zona proiectelor de infrastructură de transport, pentru acest tip de proiecte  trebuie luate măsuri din timp pentru a preîntâmpina eventualele blocaje în implementarea proiectelor cu impact direct asupra riscului de dezangajare. De asemenea, întârzierea reglementării modalității de implementare a proiectelor de infrastructură de transport cu finanțare din fonduri europene are impact direct asupra sumelor alocate României,  context care impune reglementarea în regim de urgenţă a unor măsuri pentru diminuarea acestei categorii de risc.</w:t>
            </w:r>
          </w:p>
          <w:p w14:paraId="6FF0889D" w14:textId="22FDCDAB" w:rsidR="00DB1F3F" w:rsidRDefault="00DB1F3F" w:rsidP="00724EF9">
            <w:pPr>
              <w:spacing w:before="120" w:after="120"/>
              <w:jc w:val="both"/>
              <w:rPr>
                <w:lang w:eastAsia="ro-RO"/>
              </w:rPr>
            </w:pPr>
            <w:r w:rsidRPr="009176B0">
              <w:rPr>
                <w:lang w:eastAsia="ro-RO"/>
              </w:rPr>
              <w:t>Având în vedere situația extraordinară generată de măsurile luate la nivelul Uniunii Europene, precum și la nivelul României în contextul epidemiei de coronavirus COVID 19 și ținând cont de faptul că pandemia COVID 19 a condus la limitarea și prioritizarea resurselor financiare către domenii ca sănătatea, protecția socială, fapt ce afectează potențialii beneficiari care derulează proiecte de investiții, este necesară promovarea prezentei ordonanțe de urgență de acordare de sprijin financiar pentru pregătirea documentațiilor tehnico - economice în domeniile de interes strategic național/local.</w:t>
            </w:r>
          </w:p>
          <w:p w14:paraId="4EB05AEC" w14:textId="3DAEA4AE" w:rsidR="00271D4C" w:rsidRPr="00520BE3" w:rsidRDefault="00271D4C" w:rsidP="00724EF9">
            <w:pPr>
              <w:spacing w:before="120" w:after="120"/>
              <w:jc w:val="both"/>
              <w:rPr>
                <w:lang w:eastAsia="ro-RO"/>
              </w:rPr>
            </w:pPr>
            <w:r w:rsidRPr="00F943CE">
              <w:rPr>
                <w:lang w:eastAsia="ro-RO"/>
              </w:rPr>
              <w:t>Elementele sus menționate vizează interesul public și strategic, sunt o prioritate a Programului de guvernare și constituie o situație de urgență și extraordinară, a cărei reglementare nu poate fi amânată pentru a asigura premisele unui grad ridicat de absorbție în perioada 2021-2027 și a nu genera întârzieri în implementarea proiectelor</w:t>
            </w:r>
            <w:r w:rsidRPr="00271D4C">
              <w:rPr>
                <w:lang w:eastAsia="ro-RO"/>
              </w:rPr>
              <w:t xml:space="preserve"> de infrastructură</w:t>
            </w:r>
            <w:r>
              <w:rPr>
                <w:lang w:eastAsia="ro-RO"/>
              </w:rPr>
              <w:t>.</w:t>
            </w:r>
          </w:p>
        </w:tc>
      </w:tr>
      <w:tr w:rsidR="006449AD" w:rsidRPr="00520BE3" w14:paraId="4F0A040E" w14:textId="77777777" w:rsidTr="0016785A">
        <w:trPr>
          <w:trHeight w:val="952"/>
        </w:trPr>
        <w:tc>
          <w:tcPr>
            <w:tcW w:w="2655" w:type="dxa"/>
          </w:tcPr>
          <w:p w14:paraId="444F22DC" w14:textId="1E265BEF" w:rsidR="00670C79" w:rsidRPr="00520BE3" w:rsidRDefault="00670C79" w:rsidP="006A5A1B">
            <w:pPr>
              <w:jc w:val="both"/>
            </w:pPr>
            <w:r w:rsidRPr="00520BE3">
              <w:lastRenderedPageBreak/>
              <w:t>3.Alte informaţii</w:t>
            </w:r>
          </w:p>
        </w:tc>
        <w:tc>
          <w:tcPr>
            <w:tcW w:w="7542" w:type="dxa"/>
          </w:tcPr>
          <w:p w14:paraId="33DA0BF8" w14:textId="728F5DFF" w:rsidR="0025682E" w:rsidRPr="00520BE3" w:rsidRDefault="00670C79" w:rsidP="00105808">
            <w:pPr>
              <w:widowControl w:val="0"/>
              <w:autoSpaceDE w:val="0"/>
              <w:autoSpaceDN w:val="0"/>
              <w:adjustRightInd w:val="0"/>
              <w:spacing w:before="120" w:after="120"/>
              <w:jc w:val="both"/>
            </w:pPr>
            <w:r w:rsidRPr="00F943CE">
              <w:rPr>
                <w:lang w:eastAsia="ro-RO"/>
              </w:rPr>
              <w:t xml:space="preserve">Amânarea </w:t>
            </w:r>
            <w:r w:rsidR="002E3AFC" w:rsidRPr="00F943CE">
              <w:rPr>
                <w:lang w:eastAsia="ro-RO"/>
              </w:rPr>
              <w:t>adoptării măsurilor propuse ar aduce grave prejudicii, cu efecte pe termen lung asupra proiectelor aflate în pregătire sau în implementare</w:t>
            </w:r>
            <w:r w:rsidRPr="00F943CE">
              <w:rPr>
                <w:iCs/>
                <w:lang w:eastAsia="ro-RO"/>
              </w:rPr>
              <w:t>.</w:t>
            </w:r>
          </w:p>
        </w:tc>
      </w:tr>
    </w:tbl>
    <w:p w14:paraId="001157CE" w14:textId="77777777" w:rsidR="007C16BF" w:rsidRDefault="00DB715E" w:rsidP="00DB715E">
      <w:pPr>
        <w:spacing w:before="120" w:after="120"/>
        <w:rPr>
          <w:b/>
        </w:rPr>
      </w:pPr>
      <w:r>
        <w:rPr>
          <w:b/>
        </w:rPr>
        <w:t xml:space="preserve">   </w:t>
      </w:r>
    </w:p>
    <w:p w14:paraId="4E4A7A8E" w14:textId="35D233E5" w:rsidR="00670C79" w:rsidRDefault="007C16BF" w:rsidP="00DB715E">
      <w:pPr>
        <w:spacing w:before="120" w:after="120"/>
        <w:rPr>
          <w:b/>
        </w:rPr>
      </w:pPr>
      <w:r>
        <w:rPr>
          <w:b/>
        </w:rPr>
        <w:t xml:space="preserve">    </w:t>
      </w:r>
      <w:r w:rsidR="00670C79" w:rsidRPr="00520BE3">
        <w:rPr>
          <w:b/>
        </w:rPr>
        <w:t>Secţiunea a 3-a - Impactul socio-economic al proiectului de act normativ</w:t>
      </w:r>
    </w:p>
    <w:p w14:paraId="0F8B22F0" w14:textId="77777777" w:rsidR="007C16BF" w:rsidRDefault="007C16BF" w:rsidP="00DB715E">
      <w:pPr>
        <w:spacing w:before="120" w:after="120"/>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520BE3" w:rsidRPr="00520BE3" w14:paraId="4F7B7B5A" w14:textId="77777777" w:rsidTr="006A5A1B">
        <w:tc>
          <w:tcPr>
            <w:tcW w:w="2684" w:type="dxa"/>
          </w:tcPr>
          <w:p w14:paraId="1A4C81E4" w14:textId="63864073" w:rsidR="00670C79" w:rsidRPr="00520BE3" w:rsidRDefault="00670C79" w:rsidP="006A5A1B">
            <w:r w:rsidRPr="00520BE3">
              <w:t>1. Impactul macro</w:t>
            </w:r>
            <w:r w:rsidR="009F22AF">
              <w:t xml:space="preserve">- </w:t>
            </w:r>
            <w:r w:rsidRPr="00520BE3">
              <w:t>economic</w:t>
            </w:r>
          </w:p>
        </w:tc>
        <w:tc>
          <w:tcPr>
            <w:tcW w:w="7556" w:type="dxa"/>
            <w:vAlign w:val="center"/>
          </w:tcPr>
          <w:p w14:paraId="041FB550" w14:textId="3E33FDA6" w:rsidR="0025682E" w:rsidRPr="00520BE3" w:rsidRDefault="00271D4C" w:rsidP="00271D4C">
            <w:pPr>
              <w:jc w:val="both"/>
            </w:pPr>
            <w:r>
              <w:t>Prezentul actul normativ are impact macroeconomic, contribuind la pregătirea portofoliului de proiecte din domeniul infrastructurii de transport, care va permite atragerea fondurilor europene alocate României în perioada de programare 2021-2027.</w:t>
            </w:r>
          </w:p>
        </w:tc>
      </w:tr>
      <w:tr w:rsidR="00520BE3" w:rsidRPr="00520BE3" w14:paraId="11154DDC" w14:textId="77777777" w:rsidTr="006A5A1B">
        <w:tc>
          <w:tcPr>
            <w:tcW w:w="2684" w:type="dxa"/>
          </w:tcPr>
          <w:p w14:paraId="4F381BDD" w14:textId="77777777" w:rsidR="00670C79" w:rsidRPr="00520BE3" w:rsidRDefault="00670C79" w:rsidP="00085904">
            <w:pPr>
              <w:jc w:val="both"/>
            </w:pPr>
            <w:r w:rsidRPr="00520BE3">
              <w:t>1</w:t>
            </w:r>
            <w:r w:rsidRPr="00520BE3">
              <w:rPr>
                <w:vertAlign w:val="superscript"/>
              </w:rPr>
              <w:t>1</w:t>
            </w:r>
            <w:r w:rsidRPr="00520BE3">
              <w:t>. Impactul asupra mediului concurenţial şi domeniului ajutoarelor de stat</w:t>
            </w:r>
          </w:p>
        </w:tc>
        <w:tc>
          <w:tcPr>
            <w:tcW w:w="7556" w:type="dxa"/>
            <w:vAlign w:val="center"/>
          </w:tcPr>
          <w:p w14:paraId="3691C3E7" w14:textId="77777777" w:rsidR="00670C79" w:rsidRPr="00520BE3" w:rsidRDefault="00670C79" w:rsidP="006A5A1B">
            <w:pPr>
              <w:spacing w:line="360" w:lineRule="auto"/>
              <w:jc w:val="both"/>
            </w:pPr>
            <w:r w:rsidRPr="00520BE3">
              <w:t>Proiectul de act normativ nu se referă la acest subiect.</w:t>
            </w:r>
          </w:p>
        </w:tc>
      </w:tr>
      <w:tr w:rsidR="00520BE3" w:rsidRPr="00520BE3" w14:paraId="2B719308" w14:textId="77777777" w:rsidTr="006A5A1B">
        <w:tc>
          <w:tcPr>
            <w:tcW w:w="2684" w:type="dxa"/>
          </w:tcPr>
          <w:p w14:paraId="7958BBB2" w14:textId="77777777" w:rsidR="00670C79" w:rsidRPr="00520BE3" w:rsidRDefault="00670C79" w:rsidP="006A5A1B">
            <w:r w:rsidRPr="00520BE3">
              <w:t>2. Impact asupra mediului de afaceri</w:t>
            </w:r>
          </w:p>
        </w:tc>
        <w:tc>
          <w:tcPr>
            <w:tcW w:w="7556" w:type="dxa"/>
            <w:vAlign w:val="center"/>
          </w:tcPr>
          <w:p w14:paraId="41DC7255" w14:textId="77777777" w:rsidR="00670C79" w:rsidRPr="00520BE3" w:rsidRDefault="00670C79" w:rsidP="006A5A1B">
            <w:pPr>
              <w:jc w:val="both"/>
            </w:pPr>
            <w:r w:rsidRPr="00520BE3">
              <w:t>Proiectul de act normativ nu se referă la acest subiect.</w:t>
            </w:r>
          </w:p>
          <w:p w14:paraId="5C25A681" w14:textId="77777777" w:rsidR="0025682E" w:rsidRPr="00520BE3" w:rsidRDefault="0025682E" w:rsidP="006A5A1B">
            <w:pPr>
              <w:jc w:val="both"/>
            </w:pPr>
          </w:p>
        </w:tc>
      </w:tr>
      <w:tr w:rsidR="00520BE3" w:rsidRPr="00520BE3" w14:paraId="6802A78A" w14:textId="77777777" w:rsidTr="006A5A1B">
        <w:tc>
          <w:tcPr>
            <w:tcW w:w="2684" w:type="dxa"/>
          </w:tcPr>
          <w:p w14:paraId="3F227086" w14:textId="77777777" w:rsidR="00670C79" w:rsidRPr="00520BE3" w:rsidRDefault="00670C79" w:rsidP="006A5A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0BE3">
              <w:rPr>
                <w:lang w:eastAsia="ro-RO"/>
              </w:rPr>
              <w:t>2^1. Impactul asupra sarcinilor administrative</w:t>
            </w:r>
          </w:p>
        </w:tc>
        <w:tc>
          <w:tcPr>
            <w:tcW w:w="7556" w:type="dxa"/>
            <w:vAlign w:val="center"/>
          </w:tcPr>
          <w:p w14:paraId="27439D9F" w14:textId="77777777" w:rsidR="00670C79" w:rsidRPr="00520BE3" w:rsidRDefault="00670C79" w:rsidP="006A5A1B">
            <w:pPr>
              <w:jc w:val="both"/>
            </w:pPr>
            <w:r w:rsidRPr="00520BE3">
              <w:t>Proiectul de act normativ nu se referă la acest subiect.</w:t>
            </w:r>
          </w:p>
        </w:tc>
      </w:tr>
      <w:tr w:rsidR="00520BE3" w:rsidRPr="00520BE3" w14:paraId="1EE623DB" w14:textId="77777777" w:rsidTr="006A5A1B">
        <w:tc>
          <w:tcPr>
            <w:tcW w:w="2684" w:type="dxa"/>
          </w:tcPr>
          <w:p w14:paraId="48E23D9D" w14:textId="77777777" w:rsidR="00670C79" w:rsidRPr="00520BE3" w:rsidRDefault="00670C79" w:rsidP="00085904">
            <w:pPr>
              <w:pStyle w:val="HTMLPreformatted"/>
              <w:shd w:val="clear" w:color="auto" w:fill="FFFFFF"/>
              <w:jc w:val="both"/>
              <w:rPr>
                <w:rFonts w:ascii="Times New Roman" w:hAnsi="Times New Roman" w:cs="Times New Roman"/>
                <w:sz w:val="24"/>
                <w:szCs w:val="24"/>
              </w:rPr>
            </w:pPr>
            <w:r w:rsidRPr="00520BE3">
              <w:rPr>
                <w:rFonts w:ascii="Times New Roman" w:hAnsi="Times New Roman" w:cs="Times New Roman"/>
                <w:sz w:val="24"/>
                <w:szCs w:val="24"/>
              </w:rPr>
              <w:t>2^2. Impactul asupra întreprinderilor mici și mijlocii</w:t>
            </w:r>
          </w:p>
        </w:tc>
        <w:tc>
          <w:tcPr>
            <w:tcW w:w="7556" w:type="dxa"/>
            <w:vAlign w:val="center"/>
          </w:tcPr>
          <w:p w14:paraId="2A6279C4" w14:textId="77777777" w:rsidR="00670C79" w:rsidRPr="00520BE3" w:rsidRDefault="00670C79" w:rsidP="006A5A1B">
            <w:pPr>
              <w:jc w:val="both"/>
            </w:pPr>
            <w:r w:rsidRPr="00520BE3">
              <w:t>Proiectul de act normativ nu se referă la acest subiect.</w:t>
            </w:r>
          </w:p>
        </w:tc>
      </w:tr>
      <w:tr w:rsidR="00520BE3" w:rsidRPr="00520BE3" w14:paraId="4036C85E" w14:textId="77777777" w:rsidTr="006A5A1B">
        <w:tc>
          <w:tcPr>
            <w:tcW w:w="2684" w:type="dxa"/>
          </w:tcPr>
          <w:p w14:paraId="7DFA3F41" w14:textId="7C924AD5" w:rsidR="00670C79" w:rsidRPr="00520BE3" w:rsidRDefault="00670C79" w:rsidP="006A5A1B">
            <w:r w:rsidRPr="00520BE3">
              <w:t>3. Imp</w:t>
            </w:r>
            <w:r w:rsidR="009F22AF">
              <w:t>a</w:t>
            </w:r>
            <w:r w:rsidR="00AA59A0">
              <w:t>c</w:t>
            </w:r>
            <w:r w:rsidR="009F22AF">
              <w:t xml:space="preserve">tul </w:t>
            </w:r>
            <w:r w:rsidRPr="00520BE3">
              <w:t>social</w:t>
            </w:r>
          </w:p>
        </w:tc>
        <w:tc>
          <w:tcPr>
            <w:tcW w:w="7556" w:type="dxa"/>
            <w:vAlign w:val="center"/>
          </w:tcPr>
          <w:p w14:paraId="7B2B1E4F" w14:textId="29883846" w:rsidR="00670C79" w:rsidRPr="00520BE3" w:rsidRDefault="00670C79" w:rsidP="00AA6FD4">
            <w:pPr>
              <w:jc w:val="both"/>
            </w:pPr>
          </w:p>
        </w:tc>
      </w:tr>
      <w:tr w:rsidR="00520BE3" w:rsidRPr="00520BE3" w14:paraId="59D45322" w14:textId="77777777" w:rsidTr="006A5A1B">
        <w:tc>
          <w:tcPr>
            <w:tcW w:w="2684" w:type="dxa"/>
          </w:tcPr>
          <w:p w14:paraId="10B187CE" w14:textId="77777777" w:rsidR="00670C79" w:rsidRPr="00520BE3" w:rsidRDefault="00670C79" w:rsidP="006A5A1B">
            <w:r w:rsidRPr="00520BE3">
              <w:t xml:space="preserve">4. Impact asupra </w:t>
            </w:r>
            <w:r w:rsidRPr="00520BE3">
              <w:lastRenderedPageBreak/>
              <w:t>mediului</w:t>
            </w:r>
          </w:p>
        </w:tc>
        <w:tc>
          <w:tcPr>
            <w:tcW w:w="7556" w:type="dxa"/>
            <w:vAlign w:val="center"/>
          </w:tcPr>
          <w:p w14:paraId="05B3B285" w14:textId="77777777" w:rsidR="00670C79" w:rsidRPr="00520BE3" w:rsidRDefault="00670C79" w:rsidP="006A5A1B">
            <w:pPr>
              <w:jc w:val="both"/>
            </w:pPr>
            <w:r w:rsidRPr="00520BE3">
              <w:lastRenderedPageBreak/>
              <w:t>Proiectul de act normativ nu se referă la acest subiect.</w:t>
            </w:r>
          </w:p>
        </w:tc>
      </w:tr>
      <w:tr w:rsidR="006449AD" w:rsidRPr="00520BE3" w14:paraId="32110270" w14:textId="77777777" w:rsidTr="006A5A1B">
        <w:tc>
          <w:tcPr>
            <w:tcW w:w="2684" w:type="dxa"/>
          </w:tcPr>
          <w:p w14:paraId="41862FBF" w14:textId="77777777" w:rsidR="00670C79" w:rsidRPr="00520BE3" w:rsidRDefault="00670C79" w:rsidP="006A5A1B">
            <w:r w:rsidRPr="00520BE3">
              <w:t>5. Alte informaţii</w:t>
            </w:r>
          </w:p>
        </w:tc>
        <w:tc>
          <w:tcPr>
            <w:tcW w:w="7556" w:type="dxa"/>
            <w:vAlign w:val="center"/>
          </w:tcPr>
          <w:p w14:paraId="53E2778B" w14:textId="77777777" w:rsidR="00670C79" w:rsidRPr="00520BE3" w:rsidRDefault="00670C79" w:rsidP="006A5A1B">
            <w:pPr>
              <w:spacing w:line="360" w:lineRule="auto"/>
              <w:jc w:val="both"/>
            </w:pPr>
            <w:r w:rsidRPr="00520BE3">
              <w:t>Nu au fost identificate.</w:t>
            </w:r>
          </w:p>
        </w:tc>
      </w:tr>
    </w:tbl>
    <w:p w14:paraId="40C7093F" w14:textId="244CACE9" w:rsidR="0025682E" w:rsidRDefault="0025682E" w:rsidP="00670C79">
      <w:pPr>
        <w:ind w:left="180"/>
        <w:jc w:val="both"/>
        <w:rPr>
          <w:b/>
        </w:rPr>
      </w:pPr>
    </w:p>
    <w:p w14:paraId="2C923C10" w14:textId="77777777" w:rsidR="00DB71DB" w:rsidRPr="00520BE3" w:rsidRDefault="00DB71DB" w:rsidP="00670C79">
      <w:pPr>
        <w:ind w:left="180"/>
        <w:jc w:val="both"/>
        <w:rPr>
          <w:b/>
        </w:rPr>
      </w:pPr>
    </w:p>
    <w:p w14:paraId="34AED0C5" w14:textId="01170E5A" w:rsidR="00670C79" w:rsidRDefault="007C16BF" w:rsidP="00670C79">
      <w:pPr>
        <w:ind w:left="180"/>
        <w:jc w:val="both"/>
        <w:rPr>
          <w:b/>
        </w:rPr>
      </w:pPr>
      <w:r>
        <w:rPr>
          <w:b/>
        </w:rPr>
        <w:t xml:space="preserve"> </w:t>
      </w:r>
      <w:r w:rsidR="00670C79" w:rsidRPr="00520BE3">
        <w:rPr>
          <w:b/>
        </w:rPr>
        <w:t xml:space="preserve">Secţiunea a 4-a. Impactul financiar asupra bugetului de stat consolidat, atât pe termen scurt, pentru </w:t>
      </w:r>
      <w:r>
        <w:rPr>
          <w:b/>
        </w:rPr>
        <w:t xml:space="preserve">  </w:t>
      </w:r>
      <w:r w:rsidR="00DB71DB">
        <w:rPr>
          <w:b/>
        </w:rPr>
        <w:t xml:space="preserve">  </w:t>
      </w:r>
      <w:r w:rsidR="00670C79" w:rsidRPr="00520BE3">
        <w:rPr>
          <w:b/>
        </w:rPr>
        <w:t>anul curent, cât şi pe termen lung (pe 5 ani)</w:t>
      </w:r>
    </w:p>
    <w:p w14:paraId="6C8E52AF" w14:textId="77777777" w:rsidR="00DB71DB" w:rsidRDefault="00DB71DB" w:rsidP="00670C79">
      <w:pPr>
        <w:ind w:left="180"/>
        <w:jc w:val="both"/>
        <w:rPr>
          <w:b/>
        </w:rPr>
      </w:pPr>
    </w:p>
    <w:p w14:paraId="6A41DEFB" w14:textId="77777777" w:rsidR="00DB71DB" w:rsidRDefault="00DB71DB" w:rsidP="00670C79">
      <w:pPr>
        <w:ind w:left="180"/>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080"/>
        <w:gridCol w:w="900"/>
        <w:gridCol w:w="1080"/>
        <w:gridCol w:w="1080"/>
        <w:gridCol w:w="1260"/>
        <w:gridCol w:w="1980"/>
      </w:tblGrid>
      <w:tr w:rsidR="00520BE3" w:rsidRPr="00520BE3" w14:paraId="57D824B3" w14:textId="77777777" w:rsidTr="006A5A1B">
        <w:tc>
          <w:tcPr>
            <w:tcW w:w="2880" w:type="dxa"/>
          </w:tcPr>
          <w:p w14:paraId="318BEE35" w14:textId="77777777" w:rsidR="00670C79" w:rsidRPr="00520BE3" w:rsidRDefault="00670C79" w:rsidP="006A5A1B">
            <w:pPr>
              <w:pStyle w:val="Heading2"/>
              <w:rPr>
                <w:sz w:val="24"/>
              </w:rPr>
            </w:pPr>
            <w:r w:rsidRPr="00520BE3">
              <w:rPr>
                <w:sz w:val="24"/>
              </w:rPr>
              <w:t>Indicatori</w:t>
            </w:r>
          </w:p>
        </w:tc>
        <w:tc>
          <w:tcPr>
            <w:tcW w:w="1080" w:type="dxa"/>
          </w:tcPr>
          <w:p w14:paraId="603E3C85" w14:textId="77777777" w:rsidR="00670C79" w:rsidRPr="00520BE3" w:rsidRDefault="00670C79" w:rsidP="006A5A1B">
            <w:pPr>
              <w:jc w:val="center"/>
            </w:pPr>
            <w:r w:rsidRPr="00520BE3">
              <w:t>An curent</w:t>
            </w:r>
          </w:p>
        </w:tc>
        <w:tc>
          <w:tcPr>
            <w:tcW w:w="4320" w:type="dxa"/>
            <w:gridSpan w:val="4"/>
          </w:tcPr>
          <w:p w14:paraId="4EA4AF47" w14:textId="77777777" w:rsidR="00670C79" w:rsidRPr="00520BE3" w:rsidRDefault="00670C79" w:rsidP="006A5A1B">
            <w:pPr>
              <w:jc w:val="center"/>
            </w:pPr>
            <w:r w:rsidRPr="00520BE3">
              <w:t>Următorii 4 ani</w:t>
            </w:r>
          </w:p>
        </w:tc>
        <w:tc>
          <w:tcPr>
            <w:tcW w:w="1980" w:type="dxa"/>
          </w:tcPr>
          <w:p w14:paraId="1EE52564" w14:textId="77777777" w:rsidR="00670C79" w:rsidRPr="00520BE3" w:rsidRDefault="00670C79" w:rsidP="006A5A1B">
            <w:pPr>
              <w:jc w:val="center"/>
            </w:pPr>
            <w:r w:rsidRPr="00520BE3">
              <w:t>Media următorilor 5 ani, după anul curent</w:t>
            </w:r>
          </w:p>
        </w:tc>
      </w:tr>
      <w:tr w:rsidR="00520BE3" w:rsidRPr="00520BE3" w14:paraId="31AEB740" w14:textId="77777777" w:rsidTr="006A5A1B">
        <w:tc>
          <w:tcPr>
            <w:tcW w:w="2880" w:type="dxa"/>
          </w:tcPr>
          <w:p w14:paraId="1A04C9C9" w14:textId="77777777" w:rsidR="00670C79" w:rsidRPr="00520BE3" w:rsidRDefault="00670C79" w:rsidP="006A5A1B">
            <w:pPr>
              <w:jc w:val="center"/>
            </w:pPr>
            <w:r w:rsidRPr="00520BE3">
              <w:t>1</w:t>
            </w:r>
          </w:p>
        </w:tc>
        <w:tc>
          <w:tcPr>
            <w:tcW w:w="1080" w:type="dxa"/>
            <w:vAlign w:val="center"/>
          </w:tcPr>
          <w:p w14:paraId="44BDE6EE" w14:textId="77777777" w:rsidR="00670C79" w:rsidRPr="00520BE3" w:rsidRDefault="00670C79" w:rsidP="006A5A1B">
            <w:pPr>
              <w:spacing w:line="360" w:lineRule="auto"/>
              <w:jc w:val="center"/>
            </w:pPr>
            <w:r w:rsidRPr="00520BE3">
              <w:t>2</w:t>
            </w:r>
          </w:p>
        </w:tc>
        <w:tc>
          <w:tcPr>
            <w:tcW w:w="900" w:type="dxa"/>
            <w:vAlign w:val="center"/>
          </w:tcPr>
          <w:p w14:paraId="44511A2B" w14:textId="77777777" w:rsidR="00670C79" w:rsidRPr="00520BE3" w:rsidRDefault="00670C79" w:rsidP="006A5A1B">
            <w:pPr>
              <w:spacing w:line="360" w:lineRule="auto"/>
              <w:jc w:val="center"/>
            </w:pPr>
            <w:r w:rsidRPr="00520BE3">
              <w:t>3</w:t>
            </w:r>
          </w:p>
        </w:tc>
        <w:tc>
          <w:tcPr>
            <w:tcW w:w="1080" w:type="dxa"/>
            <w:vAlign w:val="center"/>
          </w:tcPr>
          <w:p w14:paraId="7665B810" w14:textId="77777777" w:rsidR="00670C79" w:rsidRPr="00520BE3" w:rsidRDefault="00670C79" w:rsidP="006A5A1B">
            <w:pPr>
              <w:spacing w:line="360" w:lineRule="auto"/>
              <w:jc w:val="center"/>
            </w:pPr>
            <w:r w:rsidRPr="00520BE3">
              <w:t>4</w:t>
            </w:r>
          </w:p>
        </w:tc>
        <w:tc>
          <w:tcPr>
            <w:tcW w:w="1080" w:type="dxa"/>
            <w:vAlign w:val="center"/>
          </w:tcPr>
          <w:p w14:paraId="375332DA" w14:textId="77777777" w:rsidR="00670C79" w:rsidRPr="00520BE3" w:rsidRDefault="00670C79" w:rsidP="006A5A1B">
            <w:pPr>
              <w:spacing w:line="360" w:lineRule="auto"/>
              <w:jc w:val="center"/>
            </w:pPr>
            <w:r w:rsidRPr="00520BE3">
              <w:t>5</w:t>
            </w:r>
          </w:p>
        </w:tc>
        <w:tc>
          <w:tcPr>
            <w:tcW w:w="1260" w:type="dxa"/>
            <w:vAlign w:val="center"/>
          </w:tcPr>
          <w:p w14:paraId="0DD2A48C" w14:textId="77777777" w:rsidR="00670C79" w:rsidRPr="00520BE3" w:rsidRDefault="00670C79" w:rsidP="006A5A1B">
            <w:pPr>
              <w:spacing w:line="360" w:lineRule="auto"/>
              <w:jc w:val="center"/>
            </w:pPr>
            <w:r w:rsidRPr="00520BE3">
              <w:t>6</w:t>
            </w:r>
          </w:p>
        </w:tc>
        <w:tc>
          <w:tcPr>
            <w:tcW w:w="1980" w:type="dxa"/>
            <w:vAlign w:val="center"/>
          </w:tcPr>
          <w:p w14:paraId="64FF500C" w14:textId="77777777" w:rsidR="00670C79" w:rsidRPr="00520BE3" w:rsidRDefault="00670C79" w:rsidP="006A5A1B">
            <w:pPr>
              <w:spacing w:line="360" w:lineRule="auto"/>
              <w:jc w:val="center"/>
            </w:pPr>
            <w:r w:rsidRPr="00520BE3">
              <w:t>7</w:t>
            </w:r>
          </w:p>
        </w:tc>
      </w:tr>
      <w:tr w:rsidR="00520BE3" w:rsidRPr="00520BE3" w14:paraId="24F374CE" w14:textId="77777777" w:rsidTr="006A5A1B">
        <w:tc>
          <w:tcPr>
            <w:tcW w:w="2880" w:type="dxa"/>
          </w:tcPr>
          <w:p w14:paraId="16B8D264" w14:textId="77777777" w:rsidR="00670C79" w:rsidRPr="00520BE3" w:rsidRDefault="00670C79" w:rsidP="00085904">
            <w:pPr>
              <w:jc w:val="both"/>
            </w:pPr>
            <w:r w:rsidRPr="00520BE3">
              <w:t>1.Modificări ale veniturilor bugetare, plus/minus, din care:</w:t>
            </w:r>
          </w:p>
          <w:p w14:paraId="4B6C0C63" w14:textId="77777777" w:rsidR="00670C79" w:rsidRPr="00520BE3" w:rsidRDefault="00670C79" w:rsidP="00085904">
            <w:pPr>
              <w:jc w:val="both"/>
            </w:pPr>
            <w:r w:rsidRPr="00520BE3">
              <w:t>a)bugetul de stat, din acesta:</w:t>
            </w:r>
          </w:p>
          <w:p w14:paraId="0B240570" w14:textId="77777777" w:rsidR="00670C79" w:rsidRPr="00520BE3" w:rsidRDefault="00670C79" w:rsidP="00085904">
            <w:pPr>
              <w:jc w:val="both"/>
            </w:pPr>
            <w:r w:rsidRPr="00520BE3">
              <w:t>-impozit pe profit</w:t>
            </w:r>
          </w:p>
          <w:p w14:paraId="7FF15A7F" w14:textId="77777777" w:rsidR="00670C79" w:rsidRPr="00520BE3" w:rsidRDefault="00670C79" w:rsidP="00085904">
            <w:pPr>
              <w:jc w:val="both"/>
            </w:pPr>
            <w:r w:rsidRPr="00520BE3">
              <w:t>-impozit pe venit</w:t>
            </w:r>
          </w:p>
          <w:p w14:paraId="6929BEE8" w14:textId="77777777" w:rsidR="00670C79" w:rsidRPr="00520BE3" w:rsidRDefault="00670C79" w:rsidP="00085904">
            <w:pPr>
              <w:jc w:val="both"/>
            </w:pPr>
            <w:r w:rsidRPr="00520BE3">
              <w:t>b)bugete locale:</w:t>
            </w:r>
          </w:p>
          <w:p w14:paraId="018DC564" w14:textId="77777777" w:rsidR="00670C79" w:rsidRPr="00520BE3" w:rsidRDefault="00670C79" w:rsidP="00085904">
            <w:pPr>
              <w:jc w:val="both"/>
            </w:pPr>
            <w:r w:rsidRPr="00520BE3">
              <w:t>-impozit pe profit</w:t>
            </w:r>
          </w:p>
          <w:p w14:paraId="36DA5184" w14:textId="77777777" w:rsidR="00670C79" w:rsidRPr="00520BE3" w:rsidRDefault="00670C79" w:rsidP="00085904">
            <w:pPr>
              <w:jc w:val="both"/>
            </w:pPr>
            <w:r w:rsidRPr="00520BE3">
              <w:t>c)bugetul asigurărilor sociale</w:t>
            </w:r>
          </w:p>
          <w:p w14:paraId="7075F3AB" w14:textId="01F98C89" w:rsidR="0025682E" w:rsidRPr="00520BE3" w:rsidRDefault="00670C79" w:rsidP="001C7F48">
            <w:pPr>
              <w:jc w:val="both"/>
            </w:pPr>
            <w:r w:rsidRPr="00520BE3">
              <w:t>-contribuţii de asigurări</w:t>
            </w:r>
          </w:p>
        </w:tc>
        <w:tc>
          <w:tcPr>
            <w:tcW w:w="1080" w:type="dxa"/>
          </w:tcPr>
          <w:p w14:paraId="7811CDB2" w14:textId="77777777" w:rsidR="00670C79" w:rsidRPr="00520BE3" w:rsidRDefault="00670C79" w:rsidP="006A5A1B">
            <w:pPr>
              <w:pStyle w:val="BodyText2"/>
              <w:rPr>
                <w:sz w:val="24"/>
              </w:rPr>
            </w:pPr>
          </w:p>
        </w:tc>
        <w:tc>
          <w:tcPr>
            <w:tcW w:w="900" w:type="dxa"/>
          </w:tcPr>
          <w:p w14:paraId="5E0D1921" w14:textId="77777777" w:rsidR="00670C79" w:rsidRPr="00520BE3" w:rsidRDefault="00670C79" w:rsidP="006A5A1B">
            <w:pPr>
              <w:pStyle w:val="BodyText2"/>
              <w:rPr>
                <w:sz w:val="24"/>
              </w:rPr>
            </w:pPr>
          </w:p>
        </w:tc>
        <w:tc>
          <w:tcPr>
            <w:tcW w:w="1080" w:type="dxa"/>
          </w:tcPr>
          <w:p w14:paraId="3789DD62" w14:textId="77777777" w:rsidR="00670C79" w:rsidRPr="00520BE3" w:rsidRDefault="00670C79" w:rsidP="006A5A1B">
            <w:pPr>
              <w:pStyle w:val="BodyText2"/>
              <w:rPr>
                <w:sz w:val="24"/>
              </w:rPr>
            </w:pPr>
          </w:p>
        </w:tc>
        <w:tc>
          <w:tcPr>
            <w:tcW w:w="1080" w:type="dxa"/>
          </w:tcPr>
          <w:p w14:paraId="3EFEBCA3" w14:textId="77777777" w:rsidR="00670C79" w:rsidRPr="00520BE3" w:rsidRDefault="00670C79" w:rsidP="006A5A1B">
            <w:pPr>
              <w:pStyle w:val="BodyText2"/>
              <w:rPr>
                <w:sz w:val="24"/>
              </w:rPr>
            </w:pPr>
          </w:p>
        </w:tc>
        <w:tc>
          <w:tcPr>
            <w:tcW w:w="1260" w:type="dxa"/>
          </w:tcPr>
          <w:p w14:paraId="4D97905B" w14:textId="77777777" w:rsidR="00670C79" w:rsidRPr="00520BE3" w:rsidRDefault="00670C79" w:rsidP="006A5A1B">
            <w:pPr>
              <w:pStyle w:val="BodyText2"/>
              <w:rPr>
                <w:sz w:val="24"/>
              </w:rPr>
            </w:pPr>
          </w:p>
        </w:tc>
        <w:tc>
          <w:tcPr>
            <w:tcW w:w="1980" w:type="dxa"/>
          </w:tcPr>
          <w:p w14:paraId="4A89D66A" w14:textId="77777777" w:rsidR="00670C79" w:rsidRPr="00520BE3" w:rsidRDefault="00670C79" w:rsidP="006A5A1B">
            <w:pPr>
              <w:pStyle w:val="BodyText2"/>
              <w:rPr>
                <w:sz w:val="24"/>
              </w:rPr>
            </w:pPr>
          </w:p>
        </w:tc>
      </w:tr>
      <w:tr w:rsidR="00520BE3" w:rsidRPr="00520BE3" w14:paraId="126F1061" w14:textId="77777777" w:rsidTr="006A5A1B">
        <w:tc>
          <w:tcPr>
            <w:tcW w:w="2880" w:type="dxa"/>
          </w:tcPr>
          <w:p w14:paraId="2AD4C393" w14:textId="77777777" w:rsidR="00ED5D29" w:rsidRPr="00520BE3" w:rsidRDefault="00ED5D29" w:rsidP="00085904">
            <w:pPr>
              <w:jc w:val="both"/>
            </w:pPr>
            <w:r w:rsidRPr="00520BE3">
              <w:t>2.Modificări ale cheltuielilor bugetare din care:</w:t>
            </w:r>
          </w:p>
          <w:p w14:paraId="3F5FB5D8" w14:textId="77777777" w:rsidR="00ED5D29" w:rsidRPr="00520BE3" w:rsidRDefault="00ED5D29" w:rsidP="00085904">
            <w:pPr>
              <w:jc w:val="both"/>
            </w:pPr>
            <w:r w:rsidRPr="00520BE3">
              <w:t>a)bugetul de stat, din acesta:</w:t>
            </w:r>
          </w:p>
          <w:p w14:paraId="55CFF855" w14:textId="77777777" w:rsidR="00ED5D29" w:rsidRPr="00520BE3" w:rsidRDefault="00ED5D29" w:rsidP="00085904">
            <w:pPr>
              <w:jc w:val="both"/>
            </w:pPr>
            <w:r w:rsidRPr="00520BE3">
              <w:t>-cheltuieli de personal</w:t>
            </w:r>
          </w:p>
          <w:p w14:paraId="2676BF0E" w14:textId="77777777" w:rsidR="00ED5D29" w:rsidRPr="00520BE3" w:rsidRDefault="00ED5D29" w:rsidP="00085904">
            <w:pPr>
              <w:jc w:val="both"/>
            </w:pPr>
            <w:r w:rsidRPr="00520BE3">
              <w:t>-bunuri şi servicii</w:t>
            </w:r>
          </w:p>
          <w:p w14:paraId="348C3E53" w14:textId="77777777" w:rsidR="00ED5D29" w:rsidRPr="00520BE3" w:rsidRDefault="00ED5D29" w:rsidP="00085904">
            <w:pPr>
              <w:jc w:val="both"/>
            </w:pPr>
            <w:r w:rsidRPr="00520BE3">
              <w:t>b)bugete locale:</w:t>
            </w:r>
          </w:p>
          <w:p w14:paraId="033FBF83" w14:textId="77777777" w:rsidR="00ED5D29" w:rsidRPr="00520BE3" w:rsidRDefault="00ED5D29" w:rsidP="00085904">
            <w:pPr>
              <w:jc w:val="both"/>
            </w:pPr>
            <w:r w:rsidRPr="00520BE3">
              <w:t>-cheltuieli de personal</w:t>
            </w:r>
          </w:p>
          <w:p w14:paraId="3FA2B166" w14:textId="77777777" w:rsidR="00ED5D29" w:rsidRPr="00520BE3" w:rsidRDefault="00ED5D29" w:rsidP="00085904">
            <w:pPr>
              <w:jc w:val="both"/>
            </w:pPr>
            <w:r w:rsidRPr="00520BE3">
              <w:t>-bunuri şi servicii</w:t>
            </w:r>
          </w:p>
          <w:p w14:paraId="5F7C615C" w14:textId="77777777" w:rsidR="00ED5D29" w:rsidRPr="00520BE3" w:rsidRDefault="00ED5D29" w:rsidP="00085904">
            <w:pPr>
              <w:jc w:val="both"/>
            </w:pPr>
            <w:r w:rsidRPr="00520BE3">
              <w:t>c)bugetul asigurărilor sociale</w:t>
            </w:r>
          </w:p>
          <w:p w14:paraId="41AFE5F5" w14:textId="77777777" w:rsidR="00ED5D29" w:rsidRPr="00520BE3" w:rsidRDefault="00ED5D29" w:rsidP="00085904">
            <w:pPr>
              <w:jc w:val="both"/>
            </w:pPr>
            <w:r w:rsidRPr="00520BE3">
              <w:t>-cheltuieli de personal</w:t>
            </w:r>
          </w:p>
          <w:p w14:paraId="1415B230" w14:textId="5D911D03" w:rsidR="0025682E" w:rsidRPr="00520BE3" w:rsidRDefault="00ED5D29" w:rsidP="001C7F48">
            <w:pPr>
              <w:jc w:val="both"/>
            </w:pPr>
            <w:r w:rsidRPr="00520BE3">
              <w:t>-bunuri şi servicii</w:t>
            </w:r>
          </w:p>
        </w:tc>
        <w:tc>
          <w:tcPr>
            <w:tcW w:w="1080" w:type="dxa"/>
          </w:tcPr>
          <w:p w14:paraId="354BA24A" w14:textId="77777777" w:rsidR="00ED5D29" w:rsidRPr="00520BE3" w:rsidRDefault="00ED5D29" w:rsidP="00A84D54">
            <w:pPr>
              <w:jc w:val="both"/>
            </w:pPr>
            <w:r w:rsidRPr="00520BE3">
              <w:t>0</w:t>
            </w:r>
          </w:p>
          <w:p w14:paraId="7BB1C451" w14:textId="77777777" w:rsidR="00ED5D29" w:rsidRPr="00520BE3" w:rsidRDefault="00ED5D29" w:rsidP="006A5A1B">
            <w:pPr>
              <w:jc w:val="both"/>
            </w:pPr>
          </w:p>
        </w:tc>
        <w:tc>
          <w:tcPr>
            <w:tcW w:w="900" w:type="dxa"/>
          </w:tcPr>
          <w:p w14:paraId="44C5A3FF" w14:textId="57ABCAA9" w:rsidR="00ED5D29" w:rsidRPr="00520BE3" w:rsidRDefault="00ED5D29" w:rsidP="006A5A1B">
            <w:r w:rsidRPr="00520BE3">
              <w:t>0</w:t>
            </w:r>
          </w:p>
        </w:tc>
        <w:tc>
          <w:tcPr>
            <w:tcW w:w="1080" w:type="dxa"/>
          </w:tcPr>
          <w:p w14:paraId="1702DFD2" w14:textId="039177DE" w:rsidR="00ED5D29" w:rsidRPr="00520BE3" w:rsidRDefault="00ED5D29" w:rsidP="006A5A1B">
            <w:r w:rsidRPr="00520BE3">
              <w:t>0</w:t>
            </w:r>
          </w:p>
        </w:tc>
        <w:tc>
          <w:tcPr>
            <w:tcW w:w="1080" w:type="dxa"/>
          </w:tcPr>
          <w:p w14:paraId="1D7B38D6" w14:textId="297C61C9" w:rsidR="00ED5D29" w:rsidRPr="00520BE3" w:rsidRDefault="007D5B0F" w:rsidP="006A5A1B">
            <w:r w:rsidRPr="00520BE3">
              <w:t>0</w:t>
            </w:r>
          </w:p>
        </w:tc>
        <w:tc>
          <w:tcPr>
            <w:tcW w:w="1260" w:type="dxa"/>
          </w:tcPr>
          <w:p w14:paraId="09F7CD9E" w14:textId="23C02680" w:rsidR="00ED5D29" w:rsidRPr="00520BE3" w:rsidRDefault="007D5B0F" w:rsidP="006A5A1B">
            <w:r w:rsidRPr="00520BE3">
              <w:t>0</w:t>
            </w:r>
          </w:p>
        </w:tc>
        <w:tc>
          <w:tcPr>
            <w:tcW w:w="1980" w:type="dxa"/>
          </w:tcPr>
          <w:p w14:paraId="16493B27" w14:textId="1D91C51C" w:rsidR="00ED5D29" w:rsidRPr="00520BE3" w:rsidRDefault="007D5B0F" w:rsidP="006A5A1B">
            <w:r w:rsidRPr="00520BE3">
              <w:t>0</w:t>
            </w:r>
          </w:p>
        </w:tc>
      </w:tr>
      <w:tr w:rsidR="00520BE3" w:rsidRPr="00520BE3" w14:paraId="260B3CE9" w14:textId="77777777" w:rsidTr="006A5A1B">
        <w:tc>
          <w:tcPr>
            <w:tcW w:w="2880" w:type="dxa"/>
          </w:tcPr>
          <w:p w14:paraId="49D40F1D" w14:textId="77777777" w:rsidR="00ED5D29" w:rsidRPr="00520BE3" w:rsidRDefault="00ED5D29" w:rsidP="00085904">
            <w:pPr>
              <w:jc w:val="both"/>
            </w:pPr>
            <w:r w:rsidRPr="00520BE3">
              <w:t>3.Impact financiar, plus/minus, din care:</w:t>
            </w:r>
          </w:p>
          <w:p w14:paraId="67549603" w14:textId="77777777" w:rsidR="00ED5D29" w:rsidRPr="00520BE3" w:rsidRDefault="00ED5D29" w:rsidP="00085904">
            <w:pPr>
              <w:jc w:val="both"/>
            </w:pPr>
            <w:r w:rsidRPr="00520BE3">
              <w:t>a) buget de stat</w:t>
            </w:r>
          </w:p>
          <w:p w14:paraId="330BE00F" w14:textId="77777777" w:rsidR="00ED5D29" w:rsidRPr="00520BE3" w:rsidRDefault="00ED5D29" w:rsidP="00085904">
            <w:pPr>
              <w:jc w:val="both"/>
            </w:pPr>
            <w:r w:rsidRPr="00520BE3">
              <w:t>b)bugete locale</w:t>
            </w:r>
          </w:p>
        </w:tc>
        <w:tc>
          <w:tcPr>
            <w:tcW w:w="7380" w:type="dxa"/>
            <w:gridSpan w:val="6"/>
            <w:vAlign w:val="center"/>
          </w:tcPr>
          <w:p w14:paraId="699F79A9" w14:textId="77777777" w:rsidR="00ED5D29" w:rsidRPr="00520BE3" w:rsidRDefault="00ED5D29" w:rsidP="006A5A1B">
            <w:r w:rsidRPr="00520BE3">
              <w:rPr>
                <w:noProof/>
              </w:rPr>
              <w:t>Proiectul de act normativ nu se referă la acest subiect.</w:t>
            </w:r>
          </w:p>
        </w:tc>
      </w:tr>
      <w:tr w:rsidR="00520BE3" w:rsidRPr="00520BE3" w14:paraId="675CE50B" w14:textId="77777777" w:rsidTr="006A5A1B">
        <w:tc>
          <w:tcPr>
            <w:tcW w:w="2880" w:type="dxa"/>
          </w:tcPr>
          <w:p w14:paraId="182C7B6E" w14:textId="77777777" w:rsidR="00ED5D29" w:rsidRPr="00520BE3" w:rsidRDefault="00ED5D29" w:rsidP="006A5A1B">
            <w:r w:rsidRPr="00520BE3">
              <w:t xml:space="preserve">4. Propuneri pentru </w:t>
            </w:r>
          </w:p>
          <w:p w14:paraId="7D87FB0E" w14:textId="77777777" w:rsidR="00ED5D29" w:rsidRPr="00520BE3" w:rsidRDefault="00ED5D29" w:rsidP="006A5A1B">
            <w:r w:rsidRPr="00520BE3">
              <w:t>acoperirea creşterilor de cheltuieli</w:t>
            </w:r>
          </w:p>
        </w:tc>
        <w:tc>
          <w:tcPr>
            <w:tcW w:w="7380" w:type="dxa"/>
            <w:gridSpan w:val="6"/>
            <w:vAlign w:val="center"/>
          </w:tcPr>
          <w:p w14:paraId="64B74EF4" w14:textId="77777777" w:rsidR="00ED5D29" w:rsidRPr="00520BE3" w:rsidRDefault="00ED5D29" w:rsidP="006A5A1B">
            <w:pPr>
              <w:rPr>
                <w:noProof/>
              </w:rPr>
            </w:pPr>
            <w:r w:rsidRPr="00520BE3">
              <w:rPr>
                <w:noProof/>
              </w:rPr>
              <w:t>Proiectul de act normativ nu se referă la acest subiect.</w:t>
            </w:r>
          </w:p>
        </w:tc>
      </w:tr>
      <w:tr w:rsidR="00520BE3" w:rsidRPr="00520BE3" w14:paraId="0436F908" w14:textId="77777777" w:rsidTr="006A5A1B">
        <w:tc>
          <w:tcPr>
            <w:tcW w:w="2880" w:type="dxa"/>
          </w:tcPr>
          <w:p w14:paraId="71CBC13E" w14:textId="77777777" w:rsidR="00ED5D29" w:rsidRPr="00520BE3" w:rsidRDefault="00ED5D29" w:rsidP="006A5A1B">
            <w:r w:rsidRPr="00520BE3">
              <w:t>5. Propuneri pentru acoperirea scăderilor  de venituri</w:t>
            </w:r>
          </w:p>
        </w:tc>
        <w:tc>
          <w:tcPr>
            <w:tcW w:w="7380" w:type="dxa"/>
            <w:gridSpan w:val="6"/>
            <w:vAlign w:val="center"/>
          </w:tcPr>
          <w:p w14:paraId="30C15718" w14:textId="77777777" w:rsidR="00ED5D29" w:rsidRPr="00520BE3" w:rsidRDefault="00ED5D29" w:rsidP="006A5A1B">
            <w:pPr>
              <w:spacing w:line="360" w:lineRule="auto"/>
              <w:rPr>
                <w:noProof/>
              </w:rPr>
            </w:pPr>
            <w:r w:rsidRPr="00520BE3">
              <w:rPr>
                <w:noProof/>
              </w:rPr>
              <w:t>Proiectul de act normativ nu se referă la acest subiect.</w:t>
            </w:r>
          </w:p>
        </w:tc>
      </w:tr>
      <w:tr w:rsidR="00520BE3" w:rsidRPr="00520BE3" w14:paraId="47075FD6" w14:textId="77777777" w:rsidTr="006A5A1B">
        <w:tc>
          <w:tcPr>
            <w:tcW w:w="2880" w:type="dxa"/>
          </w:tcPr>
          <w:p w14:paraId="1501EE15" w14:textId="77777777" w:rsidR="00ED5D29" w:rsidRPr="00520BE3" w:rsidRDefault="00ED5D29" w:rsidP="006A5A1B">
            <w:r w:rsidRPr="00520BE3">
              <w:lastRenderedPageBreak/>
              <w:t>6. Calcule detaliate privind fundamentarea modificărilor  veniturilor şi/sau cheltuielilor bugetare</w:t>
            </w:r>
          </w:p>
          <w:p w14:paraId="4BFC5C0E" w14:textId="77777777" w:rsidR="0025682E" w:rsidRPr="00520BE3" w:rsidRDefault="0025682E" w:rsidP="006A5A1B"/>
        </w:tc>
        <w:tc>
          <w:tcPr>
            <w:tcW w:w="7380" w:type="dxa"/>
            <w:gridSpan w:val="6"/>
            <w:vAlign w:val="center"/>
          </w:tcPr>
          <w:p w14:paraId="2B646F1C" w14:textId="77777777" w:rsidR="00ED5D29" w:rsidRPr="00520BE3" w:rsidRDefault="00ED5D29" w:rsidP="006A5A1B">
            <w:pPr>
              <w:spacing w:line="360" w:lineRule="auto"/>
              <w:rPr>
                <w:noProof/>
              </w:rPr>
            </w:pPr>
            <w:r w:rsidRPr="00520BE3">
              <w:rPr>
                <w:noProof/>
              </w:rPr>
              <w:t>Proiectul de act normativ nu se referă la acest subiect.</w:t>
            </w:r>
          </w:p>
        </w:tc>
      </w:tr>
      <w:tr w:rsidR="00520BE3" w:rsidRPr="00520BE3" w14:paraId="134CE0E5" w14:textId="77777777" w:rsidTr="006A5A1B">
        <w:tc>
          <w:tcPr>
            <w:tcW w:w="2880" w:type="dxa"/>
          </w:tcPr>
          <w:p w14:paraId="00F46658" w14:textId="77777777" w:rsidR="00ED5D29" w:rsidRPr="00520BE3" w:rsidRDefault="00ED5D29" w:rsidP="006A5A1B">
            <w:r w:rsidRPr="00520BE3">
              <w:t>7. Alte informaţii</w:t>
            </w:r>
          </w:p>
        </w:tc>
        <w:tc>
          <w:tcPr>
            <w:tcW w:w="7380" w:type="dxa"/>
            <w:gridSpan w:val="6"/>
          </w:tcPr>
          <w:p w14:paraId="3B06EA07" w14:textId="7FA0FEDF" w:rsidR="0025682E" w:rsidRPr="00520BE3" w:rsidRDefault="00EE79AE" w:rsidP="00FB1A1C">
            <w:pPr>
              <w:spacing w:before="120" w:after="120"/>
              <w:jc w:val="both"/>
            </w:pPr>
            <w:r>
              <w:t>Nu au fost identificate.</w:t>
            </w:r>
          </w:p>
        </w:tc>
      </w:tr>
    </w:tbl>
    <w:p w14:paraId="742A067C" w14:textId="77777777" w:rsidR="00DB715E" w:rsidRPr="00DB715E" w:rsidRDefault="00670C79" w:rsidP="00670C79">
      <w:pPr>
        <w:jc w:val="both"/>
        <w:rPr>
          <w:b/>
          <w:sz w:val="12"/>
          <w:szCs w:val="12"/>
        </w:rPr>
      </w:pPr>
      <w:r w:rsidRPr="00520BE3">
        <w:rPr>
          <w:b/>
        </w:rPr>
        <w:t xml:space="preserve">   </w:t>
      </w:r>
    </w:p>
    <w:p w14:paraId="7A60C2EE" w14:textId="77777777" w:rsidR="00AA6FD4" w:rsidRDefault="00DB715E" w:rsidP="00670C79">
      <w:pPr>
        <w:jc w:val="both"/>
        <w:rPr>
          <w:b/>
        </w:rPr>
      </w:pPr>
      <w:r>
        <w:rPr>
          <w:b/>
        </w:rPr>
        <w:t xml:space="preserve">  </w:t>
      </w:r>
    </w:p>
    <w:p w14:paraId="7E1BCAF6" w14:textId="2B06E210" w:rsidR="00670C79" w:rsidRDefault="00AA6FD4" w:rsidP="00670C79">
      <w:pPr>
        <w:jc w:val="both"/>
        <w:rPr>
          <w:b/>
        </w:rPr>
      </w:pPr>
      <w:r>
        <w:rPr>
          <w:b/>
        </w:rPr>
        <w:t xml:space="preserve">  </w:t>
      </w:r>
      <w:r w:rsidR="007C16BF">
        <w:rPr>
          <w:b/>
        </w:rPr>
        <w:t xml:space="preserve"> </w:t>
      </w:r>
      <w:r>
        <w:rPr>
          <w:b/>
        </w:rPr>
        <w:t xml:space="preserve">  </w:t>
      </w:r>
      <w:r w:rsidR="00670C79" w:rsidRPr="00520BE3">
        <w:rPr>
          <w:b/>
        </w:rPr>
        <w:t>Secţiunea a 5-a - Efectele proiectului de act normativ asupra legislaţiei în vigoare</w:t>
      </w:r>
    </w:p>
    <w:p w14:paraId="421B40C7" w14:textId="77777777" w:rsidR="00DB71DB" w:rsidRDefault="00DB71DB" w:rsidP="00670C79">
      <w:pPr>
        <w:jc w:val="both"/>
        <w:rPr>
          <w:b/>
        </w:rPr>
      </w:pPr>
    </w:p>
    <w:p w14:paraId="1EA60D82" w14:textId="77777777" w:rsidR="007C16BF" w:rsidRDefault="007C16BF" w:rsidP="00670C79">
      <w:pPr>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220"/>
      </w:tblGrid>
      <w:tr w:rsidR="00520BE3" w:rsidRPr="00520BE3" w14:paraId="327176B4" w14:textId="77777777" w:rsidTr="00527866">
        <w:trPr>
          <w:trHeight w:val="561"/>
        </w:trPr>
        <w:tc>
          <w:tcPr>
            <w:tcW w:w="5040" w:type="dxa"/>
          </w:tcPr>
          <w:p w14:paraId="0B464A83" w14:textId="77777777" w:rsidR="00670C79" w:rsidRPr="00520BE3" w:rsidRDefault="00670C79" w:rsidP="006A5A1B">
            <w:pPr>
              <w:jc w:val="both"/>
            </w:pPr>
            <w:r w:rsidRPr="00520BE3">
              <w:t>1.Măsuri normative necesare pentru aplicarea prevederilor proiectului de act normativ:</w:t>
            </w:r>
          </w:p>
          <w:p w14:paraId="22A542E8" w14:textId="77777777" w:rsidR="00670C79" w:rsidRPr="00520BE3" w:rsidRDefault="00670C79" w:rsidP="00085904">
            <w:pPr>
              <w:jc w:val="both"/>
            </w:pPr>
            <w:r w:rsidRPr="00520BE3">
              <w:t>a) acte normative în vigoare ce vor fi modificate sau abrogate, ca urmare a intrării în vigoare a proiectului de act normativ;</w:t>
            </w:r>
          </w:p>
          <w:p w14:paraId="7D58B0F1" w14:textId="2312F39B" w:rsidR="00670C79" w:rsidRPr="00520BE3" w:rsidRDefault="00670C79" w:rsidP="001C7F48">
            <w:pPr>
              <w:jc w:val="both"/>
            </w:pPr>
            <w:r w:rsidRPr="00520BE3">
              <w:t>b) acte normative ce urmează a fi elaborate în vederea implementării noilor dispoziţii.</w:t>
            </w:r>
          </w:p>
        </w:tc>
        <w:tc>
          <w:tcPr>
            <w:tcW w:w="5220" w:type="dxa"/>
          </w:tcPr>
          <w:p w14:paraId="7C430706" w14:textId="65ADFBEB" w:rsidR="004D210B" w:rsidRPr="00520BE3" w:rsidRDefault="006D37D0" w:rsidP="006D37D0">
            <w:pPr>
              <w:pStyle w:val="ListParagraph"/>
              <w:tabs>
                <w:tab w:val="left" w:pos="201"/>
              </w:tabs>
              <w:ind w:left="59"/>
              <w:jc w:val="both"/>
              <w:rPr>
                <w:rFonts w:ascii="Times New Roman" w:hAnsi="Times New Roman" w:cs="Times New Roman"/>
              </w:rPr>
            </w:pPr>
            <w:r w:rsidRPr="00520BE3">
              <w:rPr>
                <w:rFonts w:ascii="Times New Roman" w:hAnsi="Times New Roman" w:cs="Times New Roman"/>
              </w:rPr>
              <w:t>Proiectul de act normativ nu se referă la acest subiect.</w:t>
            </w:r>
          </w:p>
        </w:tc>
      </w:tr>
      <w:tr w:rsidR="00520BE3" w:rsidRPr="00520BE3" w14:paraId="457614B1" w14:textId="77777777" w:rsidTr="006A5A1B">
        <w:trPr>
          <w:trHeight w:val="636"/>
        </w:trPr>
        <w:tc>
          <w:tcPr>
            <w:tcW w:w="5040" w:type="dxa"/>
          </w:tcPr>
          <w:p w14:paraId="45E3A53E" w14:textId="0D1CA120" w:rsidR="00670C79" w:rsidRPr="00520BE3" w:rsidRDefault="00670C79" w:rsidP="00085904">
            <w:pPr>
              <w:pStyle w:val="HTMLPreformatted"/>
              <w:shd w:val="clear" w:color="auto" w:fill="FFFFFF"/>
              <w:jc w:val="both"/>
              <w:rPr>
                <w:rFonts w:ascii="Times New Roman" w:hAnsi="Times New Roman" w:cs="Times New Roman"/>
                <w:sz w:val="24"/>
                <w:szCs w:val="24"/>
              </w:rPr>
            </w:pPr>
            <w:r w:rsidRPr="00520BE3">
              <w:rPr>
                <w:rFonts w:ascii="Times New Roman" w:hAnsi="Times New Roman" w:cs="Times New Roman"/>
                <w:sz w:val="24"/>
                <w:szCs w:val="24"/>
              </w:rPr>
              <w:t>1^1. Compatibilitatea proiectului de act normativ cu legislaţia în domeniul achiziţiilor publice</w:t>
            </w:r>
          </w:p>
        </w:tc>
        <w:tc>
          <w:tcPr>
            <w:tcW w:w="5220" w:type="dxa"/>
          </w:tcPr>
          <w:p w14:paraId="49470ACC" w14:textId="77777777" w:rsidR="00670C79" w:rsidRPr="00520BE3" w:rsidRDefault="00670C79" w:rsidP="006A5A1B">
            <w:pPr>
              <w:jc w:val="both"/>
            </w:pPr>
            <w:r w:rsidRPr="00520BE3">
              <w:t>Proiectul de act normativ nu se referă la acest subiect.</w:t>
            </w:r>
          </w:p>
        </w:tc>
      </w:tr>
      <w:tr w:rsidR="00520BE3" w:rsidRPr="00520BE3" w14:paraId="787E8B98" w14:textId="77777777" w:rsidTr="006A5A1B">
        <w:tc>
          <w:tcPr>
            <w:tcW w:w="5040" w:type="dxa"/>
          </w:tcPr>
          <w:p w14:paraId="5E04A94F" w14:textId="77777777" w:rsidR="00670C79" w:rsidRPr="00520BE3" w:rsidRDefault="00670C79" w:rsidP="006A5A1B">
            <w:pPr>
              <w:jc w:val="both"/>
            </w:pPr>
            <w:r w:rsidRPr="00520BE3">
              <w:t>2. Conformitatea  proiectului de act normativ cu legislaţia comunitară în cazul proiectelor ce transpun prevederi comunitare</w:t>
            </w:r>
          </w:p>
        </w:tc>
        <w:tc>
          <w:tcPr>
            <w:tcW w:w="5220" w:type="dxa"/>
            <w:vAlign w:val="center"/>
          </w:tcPr>
          <w:p w14:paraId="73E021D3" w14:textId="77777777" w:rsidR="00670C79" w:rsidRPr="00520BE3" w:rsidRDefault="00670C79" w:rsidP="006A5A1B">
            <w:pPr>
              <w:jc w:val="both"/>
            </w:pPr>
            <w:r w:rsidRPr="00520BE3">
              <w:t>Proiectul de act normativ nu se referă la acest subiect.</w:t>
            </w:r>
          </w:p>
        </w:tc>
      </w:tr>
      <w:tr w:rsidR="009F22AF" w:rsidRPr="00520BE3" w14:paraId="344D3A2E" w14:textId="77777777" w:rsidTr="006A5A1B">
        <w:tc>
          <w:tcPr>
            <w:tcW w:w="5040" w:type="dxa"/>
          </w:tcPr>
          <w:p w14:paraId="1C80FA7B" w14:textId="2D293DAB" w:rsidR="009F22AF" w:rsidRPr="00520BE3" w:rsidRDefault="009F22AF" w:rsidP="00085904">
            <w:pPr>
              <w:jc w:val="both"/>
            </w:pPr>
            <w:r>
              <w:t>3. Măsuri normative necesare aplicării directe a actelor normative comunitare europene</w:t>
            </w:r>
          </w:p>
        </w:tc>
        <w:tc>
          <w:tcPr>
            <w:tcW w:w="5220" w:type="dxa"/>
            <w:vAlign w:val="center"/>
          </w:tcPr>
          <w:p w14:paraId="1B15F463" w14:textId="7741D1B2" w:rsidR="009F22AF" w:rsidRPr="00520BE3" w:rsidRDefault="009F22AF" w:rsidP="006A5A1B">
            <w:pPr>
              <w:jc w:val="both"/>
            </w:pPr>
            <w:r w:rsidRPr="009F22AF">
              <w:t>Proiectul de act normativ nu se referă la acest subiect.</w:t>
            </w:r>
          </w:p>
        </w:tc>
      </w:tr>
      <w:tr w:rsidR="00520BE3" w:rsidRPr="00520BE3" w14:paraId="64CA1687" w14:textId="77777777" w:rsidTr="006A5A1B">
        <w:tc>
          <w:tcPr>
            <w:tcW w:w="5040" w:type="dxa"/>
          </w:tcPr>
          <w:p w14:paraId="29BE2E72" w14:textId="77777777" w:rsidR="00670C79" w:rsidRPr="00520BE3" w:rsidRDefault="00670C79" w:rsidP="00085904">
            <w:pPr>
              <w:jc w:val="both"/>
            </w:pPr>
            <w:r w:rsidRPr="00520BE3">
              <w:t>4. Hotărâri ale Curţii de Justiţie a Uniunii Europene</w:t>
            </w:r>
          </w:p>
        </w:tc>
        <w:tc>
          <w:tcPr>
            <w:tcW w:w="5220" w:type="dxa"/>
            <w:vAlign w:val="center"/>
          </w:tcPr>
          <w:p w14:paraId="0008985F" w14:textId="77777777" w:rsidR="00670C79" w:rsidRPr="00520BE3" w:rsidRDefault="00670C79" w:rsidP="006A5A1B">
            <w:pPr>
              <w:jc w:val="both"/>
            </w:pPr>
            <w:r w:rsidRPr="00520BE3">
              <w:t>Proiectul de act normativ nu se referă la acest subiect.</w:t>
            </w:r>
          </w:p>
        </w:tc>
      </w:tr>
      <w:tr w:rsidR="00520BE3" w:rsidRPr="00520BE3" w14:paraId="107AD4C3" w14:textId="77777777" w:rsidTr="006A5A1B">
        <w:tc>
          <w:tcPr>
            <w:tcW w:w="5040" w:type="dxa"/>
          </w:tcPr>
          <w:p w14:paraId="37CF24B8" w14:textId="77777777" w:rsidR="00670C79" w:rsidRPr="00520BE3" w:rsidRDefault="00670C79" w:rsidP="00085904">
            <w:pPr>
              <w:jc w:val="both"/>
            </w:pPr>
            <w:r w:rsidRPr="00520BE3">
              <w:t>5. Alte acte normative şi/sau documente internaţionale din care decurg angajamente</w:t>
            </w:r>
          </w:p>
        </w:tc>
        <w:tc>
          <w:tcPr>
            <w:tcW w:w="5220" w:type="dxa"/>
            <w:vAlign w:val="center"/>
          </w:tcPr>
          <w:p w14:paraId="20C068A2" w14:textId="77777777" w:rsidR="00670C79" w:rsidRPr="00520BE3" w:rsidRDefault="00670C79" w:rsidP="006A5A1B">
            <w:pPr>
              <w:jc w:val="both"/>
            </w:pPr>
            <w:r w:rsidRPr="00520BE3">
              <w:t>Proiectul de act normativ nu se referă la acest subiect.</w:t>
            </w:r>
          </w:p>
        </w:tc>
      </w:tr>
      <w:tr w:rsidR="00670C79" w:rsidRPr="00520BE3" w14:paraId="56F5B91F" w14:textId="77777777" w:rsidTr="006A5A1B">
        <w:tc>
          <w:tcPr>
            <w:tcW w:w="5040" w:type="dxa"/>
          </w:tcPr>
          <w:p w14:paraId="5341025F" w14:textId="77777777" w:rsidR="00670C79" w:rsidRPr="00520BE3" w:rsidRDefault="00670C79" w:rsidP="00085904">
            <w:pPr>
              <w:jc w:val="both"/>
            </w:pPr>
            <w:r w:rsidRPr="00520BE3">
              <w:t>6.Alte informaţii</w:t>
            </w:r>
          </w:p>
        </w:tc>
        <w:tc>
          <w:tcPr>
            <w:tcW w:w="5220" w:type="dxa"/>
            <w:vAlign w:val="center"/>
          </w:tcPr>
          <w:p w14:paraId="0004E5EF" w14:textId="77777777" w:rsidR="00670C79" w:rsidRPr="00520BE3" w:rsidRDefault="00670C79" w:rsidP="006A5A1B">
            <w:pPr>
              <w:jc w:val="both"/>
            </w:pPr>
            <w:r w:rsidRPr="00520BE3">
              <w:t>Nu au fost identificate.</w:t>
            </w:r>
          </w:p>
        </w:tc>
      </w:tr>
    </w:tbl>
    <w:p w14:paraId="7203B83A" w14:textId="77777777" w:rsidR="00DB715E" w:rsidRPr="00DB715E" w:rsidRDefault="00DB715E" w:rsidP="00DB715E">
      <w:pPr>
        <w:rPr>
          <w:b/>
          <w:sz w:val="12"/>
          <w:szCs w:val="12"/>
        </w:rPr>
      </w:pPr>
      <w:r>
        <w:rPr>
          <w:b/>
        </w:rPr>
        <w:t xml:space="preserve">   </w:t>
      </w:r>
    </w:p>
    <w:p w14:paraId="7128E9BA" w14:textId="7E6A8583" w:rsidR="00AA6FD4" w:rsidRDefault="00DB715E" w:rsidP="00DB715E">
      <w:pPr>
        <w:rPr>
          <w:b/>
        </w:rPr>
      </w:pPr>
      <w:r>
        <w:rPr>
          <w:b/>
        </w:rPr>
        <w:t xml:space="preserve">  </w:t>
      </w:r>
      <w:r w:rsidR="00AA6FD4">
        <w:rPr>
          <w:b/>
        </w:rPr>
        <w:t xml:space="preserve"> </w:t>
      </w:r>
      <w:r>
        <w:rPr>
          <w:b/>
        </w:rPr>
        <w:t xml:space="preserve"> </w:t>
      </w:r>
    </w:p>
    <w:p w14:paraId="4113E59E" w14:textId="2A90D847" w:rsidR="00670C79" w:rsidRDefault="00AA6FD4" w:rsidP="00DB715E">
      <w:pPr>
        <w:rPr>
          <w:b/>
        </w:rPr>
      </w:pPr>
      <w:r>
        <w:rPr>
          <w:b/>
        </w:rPr>
        <w:t xml:space="preserve">   </w:t>
      </w:r>
      <w:r w:rsidR="007C16BF">
        <w:rPr>
          <w:b/>
        </w:rPr>
        <w:t xml:space="preserve"> </w:t>
      </w:r>
      <w:r w:rsidR="00670C79" w:rsidRPr="00520BE3">
        <w:rPr>
          <w:b/>
        </w:rPr>
        <w:t>6. Consultările efectuate în vederea elaborării proiectului de act normativ</w:t>
      </w:r>
    </w:p>
    <w:p w14:paraId="11C5E84C" w14:textId="77777777" w:rsidR="00DB71DB" w:rsidRDefault="00DB71DB" w:rsidP="00DB715E">
      <w:pPr>
        <w:rPr>
          <w:b/>
        </w:rPr>
      </w:pPr>
    </w:p>
    <w:p w14:paraId="7F8D0DC5" w14:textId="77777777" w:rsidR="007C16BF" w:rsidRDefault="007C16BF" w:rsidP="00DB715E">
      <w:pPr>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220"/>
      </w:tblGrid>
      <w:tr w:rsidR="00520BE3" w:rsidRPr="00520BE3" w14:paraId="65D4A307" w14:textId="77777777" w:rsidTr="006A5A1B">
        <w:tc>
          <w:tcPr>
            <w:tcW w:w="5040" w:type="dxa"/>
          </w:tcPr>
          <w:p w14:paraId="335CB085" w14:textId="77777777" w:rsidR="00670C79" w:rsidRPr="00520BE3" w:rsidRDefault="00670C79" w:rsidP="006A5A1B">
            <w:pPr>
              <w:jc w:val="both"/>
            </w:pPr>
            <w:r w:rsidRPr="00520BE3">
              <w:t>1.Informaţii privind procesul de consultare cu organizaţii neguvernamentale, instituite de cercetare şi alte organisme implicate</w:t>
            </w:r>
          </w:p>
        </w:tc>
        <w:tc>
          <w:tcPr>
            <w:tcW w:w="5220" w:type="dxa"/>
          </w:tcPr>
          <w:p w14:paraId="05ECBB28" w14:textId="3AFFBCD4" w:rsidR="00670C79" w:rsidRPr="00520BE3" w:rsidRDefault="00670C79" w:rsidP="006A5A1B">
            <w:pPr>
              <w:jc w:val="both"/>
            </w:pPr>
            <w:r w:rsidRPr="00520BE3">
              <w:t xml:space="preserve"> </w:t>
            </w:r>
            <w:r w:rsidR="003E080A" w:rsidRPr="00520BE3">
              <w:t>Proiectul de act normativ nu se referă la acest subiect.</w:t>
            </w:r>
          </w:p>
        </w:tc>
      </w:tr>
      <w:tr w:rsidR="00520BE3" w:rsidRPr="00520BE3" w14:paraId="16D0661E" w14:textId="77777777" w:rsidTr="006A5A1B">
        <w:tc>
          <w:tcPr>
            <w:tcW w:w="5040" w:type="dxa"/>
          </w:tcPr>
          <w:p w14:paraId="297F37E9" w14:textId="77777777" w:rsidR="00670C79" w:rsidRPr="00520BE3" w:rsidRDefault="00670C79" w:rsidP="006A5A1B">
            <w:pPr>
              <w:jc w:val="both"/>
            </w:pPr>
            <w:r w:rsidRPr="00520BE3">
              <w:t>2.Fundamentarea alegerii organizaţiilor cu care a avut loc consultarea, precum şi a modului în care activitatea acestor organizaţii este legată de obiectivul proiectului de act normativ</w:t>
            </w:r>
          </w:p>
        </w:tc>
        <w:tc>
          <w:tcPr>
            <w:tcW w:w="5220" w:type="dxa"/>
            <w:vAlign w:val="center"/>
          </w:tcPr>
          <w:p w14:paraId="10909C7F" w14:textId="77777777" w:rsidR="00670C79" w:rsidRPr="00520BE3" w:rsidRDefault="00670C79" w:rsidP="002E3AFC">
            <w:pPr>
              <w:spacing w:line="360" w:lineRule="auto"/>
              <w:jc w:val="both"/>
            </w:pPr>
            <w:r w:rsidRPr="00520BE3">
              <w:t>Proiectul de act normativ nu se referă la acest subiect.</w:t>
            </w:r>
          </w:p>
        </w:tc>
      </w:tr>
      <w:tr w:rsidR="00520BE3" w:rsidRPr="00520BE3" w14:paraId="19A2A59D" w14:textId="77777777" w:rsidTr="006A5A1B">
        <w:tc>
          <w:tcPr>
            <w:tcW w:w="5040" w:type="dxa"/>
          </w:tcPr>
          <w:p w14:paraId="53EA464B" w14:textId="77777777" w:rsidR="00670C79" w:rsidRPr="00520BE3" w:rsidRDefault="00670C79" w:rsidP="006A5A1B">
            <w:pPr>
              <w:jc w:val="both"/>
            </w:pPr>
            <w:r w:rsidRPr="00520BE3">
              <w:t xml:space="preserve">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w:t>
            </w:r>
            <w:r w:rsidRPr="00520BE3">
              <w:lastRenderedPageBreak/>
              <w:t>elaborarea proiectelor de acte normative</w:t>
            </w:r>
          </w:p>
        </w:tc>
        <w:tc>
          <w:tcPr>
            <w:tcW w:w="5220" w:type="dxa"/>
            <w:vAlign w:val="center"/>
          </w:tcPr>
          <w:p w14:paraId="5D978A54" w14:textId="134DC75D" w:rsidR="00670C79" w:rsidRPr="00520BE3" w:rsidRDefault="004D210B" w:rsidP="006A5A1B">
            <w:pPr>
              <w:jc w:val="both"/>
            </w:pPr>
            <w:r>
              <w:lastRenderedPageBreak/>
              <w:t xml:space="preserve"> </w:t>
            </w:r>
            <w:r w:rsidRPr="004D210B">
              <w:t xml:space="preserve">A fost realizată procedura de consultare în conformitate cu prevederile Ordonanței de urgență a Guvernului nr. 57/2019 privind Codul administrativ, cu completările ulterioare, precum și ale Hotărârii Guvernului nr. 521/2005 privind procedura de consultare a structurilor asociative ale autorităţilor administraţiei publice locale la </w:t>
            </w:r>
            <w:r w:rsidRPr="004D210B">
              <w:lastRenderedPageBreak/>
              <w:t>elaborarea proiectelor de acte normative.</w:t>
            </w:r>
          </w:p>
        </w:tc>
      </w:tr>
      <w:tr w:rsidR="00520BE3" w:rsidRPr="00520BE3" w14:paraId="0D4EB37E" w14:textId="77777777" w:rsidTr="006A5A1B">
        <w:tc>
          <w:tcPr>
            <w:tcW w:w="5040" w:type="dxa"/>
          </w:tcPr>
          <w:p w14:paraId="0FB83D7F" w14:textId="77777777" w:rsidR="00670C79" w:rsidRPr="00520BE3" w:rsidRDefault="00670C79" w:rsidP="00E20EAD">
            <w:pPr>
              <w:jc w:val="both"/>
            </w:pPr>
            <w:r w:rsidRPr="00520BE3">
              <w:lastRenderedPageBreak/>
              <w:t>4.Consultările desfăşurate în cadrul consiliilor interministeriale, în conformitate cu prevederile Hotărârii Guvernului nr. 750/2005 privind constituirea consiliilor interministeriale permanente</w:t>
            </w:r>
          </w:p>
        </w:tc>
        <w:tc>
          <w:tcPr>
            <w:tcW w:w="5220" w:type="dxa"/>
            <w:vAlign w:val="center"/>
          </w:tcPr>
          <w:p w14:paraId="2A1BF33A" w14:textId="77777777" w:rsidR="00670C79" w:rsidRPr="00520BE3" w:rsidRDefault="00670C79" w:rsidP="006A5A1B">
            <w:pPr>
              <w:jc w:val="both"/>
            </w:pPr>
            <w:r w:rsidRPr="00520BE3">
              <w:t>Proiectul de act normativ nu se referă la acest subiect.</w:t>
            </w:r>
          </w:p>
        </w:tc>
      </w:tr>
      <w:tr w:rsidR="00520BE3" w:rsidRPr="00520BE3" w14:paraId="5B65EE0A" w14:textId="77777777" w:rsidTr="006A5A1B">
        <w:tc>
          <w:tcPr>
            <w:tcW w:w="5040" w:type="dxa"/>
          </w:tcPr>
          <w:p w14:paraId="1F489DD3" w14:textId="77777777" w:rsidR="00670C79" w:rsidRPr="00520BE3" w:rsidRDefault="00670C79" w:rsidP="006A5A1B">
            <w:r w:rsidRPr="00520BE3">
              <w:t>5.Informaţii privind avizarea de către:</w:t>
            </w:r>
          </w:p>
          <w:p w14:paraId="3FDB7235" w14:textId="77777777" w:rsidR="00670C79" w:rsidRPr="00520BE3" w:rsidRDefault="00670C79" w:rsidP="006A5A1B">
            <w:r w:rsidRPr="00520BE3">
              <w:t>a) Consiliul legislativ</w:t>
            </w:r>
          </w:p>
          <w:p w14:paraId="60B92AD3" w14:textId="77777777" w:rsidR="00670C79" w:rsidRPr="00520BE3" w:rsidRDefault="00670C79" w:rsidP="006A5A1B">
            <w:r w:rsidRPr="00520BE3">
              <w:t>b)Consiliul Suprem de Apărare a Ţării</w:t>
            </w:r>
          </w:p>
          <w:p w14:paraId="3AACDD1C" w14:textId="77777777" w:rsidR="00670C79" w:rsidRPr="00520BE3" w:rsidRDefault="00670C79" w:rsidP="006A5A1B">
            <w:r w:rsidRPr="00520BE3">
              <w:t>c)Consiliul Economic şi Social</w:t>
            </w:r>
          </w:p>
          <w:p w14:paraId="14AB49B3" w14:textId="77777777" w:rsidR="00670C79" w:rsidRPr="00520BE3" w:rsidRDefault="00670C79" w:rsidP="006A5A1B">
            <w:r w:rsidRPr="00520BE3">
              <w:t xml:space="preserve">d)Consiliul Concurenţei </w:t>
            </w:r>
          </w:p>
          <w:p w14:paraId="0A37194B" w14:textId="77777777" w:rsidR="00670C79" w:rsidRPr="00520BE3" w:rsidRDefault="00670C79" w:rsidP="006A5A1B">
            <w:r w:rsidRPr="00520BE3">
              <w:t>e)Curtea de Conturi</w:t>
            </w:r>
          </w:p>
        </w:tc>
        <w:tc>
          <w:tcPr>
            <w:tcW w:w="5220" w:type="dxa"/>
            <w:vAlign w:val="center"/>
          </w:tcPr>
          <w:p w14:paraId="7ED20DBC" w14:textId="5D285867" w:rsidR="00670C79" w:rsidRPr="00520BE3" w:rsidRDefault="004B13DF" w:rsidP="006803EA">
            <w:pPr>
              <w:jc w:val="both"/>
            </w:pPr>
            <w:r w:rsidRPr="00520BE3">
              <w:t>Prezentul proiect de act normativ este supus avizării Consiliului Legislativ</w:t>
            </w:r>
            <w:r w:rsidR="004D210B">
              <w:t xml:space="preserve"> și s-a solicitat punctul de vedere al</w:t>
            </w:r>
            <w:r w:rsidR="00EE79AE">
              <w:t xml:space="preserve"> </w:t>
            </w:r>
            <w:r w:rsidRPr="00520BE3">
              <w:t>Cur</w:t>
            </w:r>
            <w:r w:rsidR="004D210B">
              <w:t>ții</w:t>
            </w:r>
            <w:r w:rsidRPr="00520BE3">
              <w:t xml:space="preserve"> de </w:t>
            </w:r>
            <w:r w:rsidRPr="00F943CE">
              <w:t>Conturi</w:t>
            </w:r>
            <w:r w:rsidR="00EE79AE" w:rsidRPr="00F943CE">
              <w:t>, al</w:t>
            </w:r>
            <w:r w:rsidRPr="00F943CE">
              <w:t xml:space="preserve"> Autorit</w:t>
            </w:r>
            <w:r w:rsidR="00EE79AE" w:rsidRPr="00F943CE">
              <w:t>ății</w:t>
            </w:r>
            <w:r w:rsidRPr="00F943CE">
              <w:t xml:space="preserve"> de Audit din cadrul Curții de Conturi a României</w:t>
            </w:r>
            <w:r w:rsidR="002337CA" w:rsidRPr="00F943CE">
              <w:t xml:space="preserve"> și </w:t>
            </w:r>
            <w:r w:rsidR="00EE79AE" w:rsidRPr="00F943CE">
              <w:t xml:space="preserve">al </w:t>
            </w:r>
            <w:r w:rsidR="002337CA" w:rsidRPr="00F943CE">
              <w:t>Consiliul</w:t>
            </w:r>
            <w:r w:rsidR="00EE79AE" w:rsidRPr="00F943CE">
              <w:t>ui</w:t>
            </w:r>
            <w:r w:rsidR="002337CA" w:rsidRPr="00F943CE">
              <w:t xml:space="preserve"> Concurenței.</w:t>
            </w:r>
          </w:p>
        </w:tc>
      </w:tr>
      <w:tr w:rsidR="006449AD" w:rsidRPr="00520BE3" w14:paraId="4938D81B" w14:textId="77777777" w:rsidTr="006A5A1B">
        <w:tc>
          <w:tcPr>
            <w:tcW w:w="5040" w:type="dxa"/>
          </w:tcPr>
          <w:p w14:paraId="7069E280" w14:textId="77777777" w:rsidR="00670C79" w:rsidRPr="00520BE3" w:rsidRDefault="00670C79" w:rsidP="006A5A1B">
            <w:r w:rsidRPr="00520BE3">
              <w:t>6.Alte informaţii</w:t>
            </w:r>
          </w:p>
        </w:tc>
        <w:tc>
          <w:tcPr>
            <w:tcW w:w="5220" w:type="dxa"/>
            <w:vAlign w:val="center"/>
          </w:tcPr>
          <w:p w14:paraId="292345C8" w14:textId="77777777" w:rsidR="00670C79" w:rsidRPr="00520BE3" w:rsidRDefault="00670C79" w:rsidP="006A5A1B">
            <w:pPr>
              <w:spacing w:line="360" w:lineRule="auto"/>
              <w:jc w:val="both"/>
            </w:pPr>
            <w:r w:rsidRPr="00520BE3">
              <w:t>Nu au fost identificate.</w:t>
            </w:r>
          </w:p>
        </w:tc>
      </w:tr>
    </w:tbl>
    <w:p w14:paraId="2F40C601" w14:textId="77777777" w:rsidR="00724EF9" w:rsidRDefault="00724EF9" w:rsidP="00DB715E">
      <w:pPr>
        <w:pStyle w:val="BodyTextIndent2"/>
        <w:spacing w:before="0" w:after="0" w:line="240" w:lineRule="auto"/>
        <w:ind w:left="180" w:right="98" w:firstLine="0"/>
        <w:jc w:val="both"/>
        <w:rPr>
          <w:bCs w:val="0"/>
          <w:sz w:val="24"/>
        </w:rPr>
      </w:pPr>
    </w:p>
    <w:p w14:paraId="2F86E8DB" w14:textId="77777777" w:rsidR="00DB71DB" w:rsidRDefault="00DB71DB" w:rsidP="00DB715E">
      <w:pPr>
        <w:pStyle w:val="BodyTextIndent2"/>
        <w:spacing w:before="0" w:after="0" w:line="240" w:lineRule="auto"/>
        <w:ind w:left="180" w:right="98" w:firstLine="0"/>
        <w:jc w:val="both"/>
        <w:rPr>
          <w:bCs w:val="0"/>
          <w:sz w:val="24"/>
        </w:rPr>
      </w:pPr>
    </w:p>
    <w:p w14:paraId="41470463" w14:textId="77777777" w:rsidR="00DB71DB" w:rsidRDefault="00DB71DB" w:rsidP="00DB715E">
      <w:pPr>
        <w:pStyle w:val="BodyTextIndent2"/>
        <w:spacing w:before="0" w:after="0" w:line="240" w:lineRule="auto"/>
        <w:ind w:left="180" w:right="98" w:firstLine="0"/>
        <w:jc w:val="both"/>
        <w:rPr>
          <w:bCs w:val="0"/>
          <w:sz w:val="24"/>
        </w:rPr>
      </w:pPr>
    </w:p>
    <w:p w14:paraId="24C76478" w14:textId="5C801B43" w:rsidR="00670C79" w:rsidRDefault="00670C79" w:rsidP="00DB715E">
      <w:pPr>
        <w:pStyle w:val="BodyTextIndent2"/>
        <w:spacing w:before="0" w:after="0" w:line="240" w:lineRule="auto"/>
        <w:ind w:left="180" w:right="98" w:firstLine="0"/>
        <w:jc w:val="both"/>
        <w:rPr>
          <w:bCs w:val="0"/>
          <w:sz w:val="24"/>
        </w:rPr>
      </w:pPr>
      <w:r w:rsidRPr="00520BE3">
        <w:rPr>
          <w:bCs w:val="0"/>
          <w:sz w:val="24"/>
        </w:rPr>
        <w:t>Secţiunea a 7-a  Activităţi de informare publică privind elaborarea şi implementarea proiectului de act normativ</w:t>
      </w:r>
    </w:p>
    <w:p w14:paraId="39A2B640" w14:textId="32369815" w:rsidR="00DB71DB" w:rsidRDefault="00DB71DB" w:rsidP="00DB715E">
      <w:pPr>
        <w:pStyle w:val="BodyTextIndent2"/>
        <w:spacing w:before="0" w:after="0" w:line="240" w:lineRule="auto"/>
        <w:ind w:left="180" w:right="98" w:firstLine="0"/>
        <w:jc w:val="both"/>
        <w:rPr>
          <w:bCs w:val="0"/>
          <w:sz w:val="24"/>
        </w:rPr>
      </w:pPr>
    </w:p>
    <w:p w14:paraId="73752781" w14:textId="77777777" w:rsidR="00DB71DB" w:rsidRDefault="00DB71DB" w:rsidP="00DB715E">
      <w:pPr>
        <w:pStyle w:val="BodyTextIndent2"/>
        <w:spacing w:before="0" w:after="0" w:line="240" w:lineRule="auto"/>
        <w:ind w:left="180" w:right="98" w:firstLine="0"/>
        <w:jc w:val="both"/>
        <w:rPr>
          <w:bCs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520BE3" w:rsidRPr="00520BE3" w14:paraId="732E424B" w14:textId="77777777" w:rsidTr="00E20EAD">
        <w:tc>
          <w:tcPr>
            <w:tcW w:w="3931" w:type="dxa"/>
          </w:tcPr>
          <w:p w14:paraId="10660F36" w14:textId="77777777" w:rsidR="00670C79" w:rsidRPr="00520BE3" w:rsidRDefault="00670C79" w:rsidP="00DB715E">
            <w:pPr>
              <w:jc w:val="both"/>
            </w:pPr>
            <w:r w:rsidRPr="00520BE3">
              <w:t>1.Informarea societăţii civile cu privire la necesitatea elaborării proiectului de act normativ</w:t>
            </w:r>
          </w:p>
        </w:tc>
        <w:tc>
          <w:tcPr>
            <w:tcW w:w="6329" w:type="dxa"/>
          </w:tcPr>
          <w:p w14:paraId="36624643" w14:textId="0EFF6016" w:rsidR="00670C79" w:rsidRPr="00520BE3" w:rsidRDefault="006B075E" w:rsidP="003F7AF4">
            <w:pPr>
              <w:jc w:val="both"/>
            </w:pPr>
            <w:r w:rsidRPr="00520BE3">
              <w:t>Prezentul proiect de act normativ respectă prevederile art. 7 alin. (13) din Legea nr. 52/2003 privind transparența decizională în administrația publică, republicată, și a fost publicat în dezbatere publică pe pagina de internet a Ministerului</w:t>
            </w:r>
            <w:r w:rsidR="00D501A1">
              <w:t xml:space="preserve"> Fondurilor Europene la data de </w:t>
            </w:r>
            <w:r w:rsidR="00EC3531">
              <w:t>20.10.2020</w:t>
            </w:r>
            <w:r w:rsidR="0026115F">
              <w:t>.</w:t>
            </w:r>
          </w:p>
        </w:tc>
      </w:tr>
      <w:tr w:rsidR="00520BE3" w:rsidRPr="00520BE3" w14:paraId="585061CE" w14:textId="77777777" w:rsidTr="00E20EAD">
        <w:tc>
          <w:tcPr>
            <w:tcW w:w="3931" w:type="dxa"/>
          </w:tcPr>
          <w:p w14:paraId="50B21BCD" w14:textId="77777777" w:rsidR="00670C79" w:rsidRPr="00520BE3" w:rsidRDefault="00670C79" w:rsidP="00E20EAD">
            <w:pPr>
              <w:jc w:val="both"/>
            </w:pPr>
            <w:r w:rsidRPr="00520BE3">
              <w:t>2.Informarea societăţii civile cu privire la eventualul impact asupra mediului în urma implementării proiectului de act normativ, precum şi efectele asupra sănătăţii şi securităţii cetăţeanului sau diversităţii biologice</w:t>
            </w:r>
          </w:p>
        </w:tc>
        <w:tc>
          <w:tcPr>
            <w:tcW w:w="6329" w:type="dxa"/>
          </w:tcPr>
          <w:p w14:paraId="5BE15852" w14:textId="77777777" w:rsidR="00670C79" w:rsidRPr="00520BE3" w:rsidRDefault="00670C79" w:rsidP="006A5A1B">
            <w:pPr>
              <w:jc w:val="both"/>
            </w:pPr>
          </w:p>
          <w:p w14:paraId="6F061B40" w14:textId="77777777" w:rsidR="00670C79" w:rsidRPr="00520BE3" w:rsidRDefault="00670C79" w:rsidP="006A5A1B">
            <w:pPr>
              <w:jc w:val="both"/>
            </w:pPr>
            <w:r w:rsidRPr="00520BE3">
              <w:t>Proiectul de act normativ nu se referă la acest subiect.</w:t>
            </w:r>
          </w:p>
        </w:tc>
      </w:tr>
      <w:tr w:rsidR="00520BE3" w:rsidRPr="00520BE3" w14:paraId="6330D92F" w14:textId="77777777" w:rsidTr="00E20EAD">
        <w:tc>
          <w:tcPr>
            <w:tcW w:w="3931" w:type="dxa"/>
          </w:tcPr>
          <w:p w14:paraId="1EC509E8" w14:textId="77777777" w:rsidR="00670C79" w:rsidRPr="00520BE3" w:rsidRDefault="00670C79" w:rsidP="006A5A1B">
            <w:r w:rsidRPr="00520BE3">
              <w:t>3. Alte informaţii</w:t>
            </w:r>
          </w:p>
        </w:tc>
        <w:tc>
          <w:tcPr>
            <w:tcW w:w="6329" w:type="dxa"/>
            <w:vAlign w:val="center"/>
          </w:tcPr>
          <w:p w14:paraId="0819DC9B" w14:textId="00466D68" w:rsidR="00454D72" w:rsidRPr="00520BE3" w:rsidRDefault="00670C79" w:rsidP="00FB1A1C">
            <w:pPr>
              <w:jc w:val="both"/>
            </w:pPr>
            <w:r w:rsidRPr="00520BE3">
              <w:t>Nu au fost identificate.</w:t>
            </w:r>
          </w:p>
        </w:tc>
      </w:tr>
    </w:tbl>
    <w:p w14:paraId="5D74F2C4" w14:textId="706D708A" w:rsidR="00AA6FD4" w:rsidRDefault="00AA6FD4" w:rsidP="00670C79">
      <w:pPr>
        <w:ind w:left="180"/>
        <w:rPr>
          <w:b/>
        </w:rPr>
      </w:pPr>
    </w:p>
    <w:p w14:paraId="31836288" w14:textId="77777777" w:rsidR="00DB71DB" w:rsidRDefault="00DB71DB" w:rsidP="00670C79">
      <w:pPr>
        <w:ind w:left="180"/>
        <w:rPr>
          <w:b/>
        </w:rPr>
      </w:pPr>
    </w:p>
    <w:p w14:paraId="3FBCA191" w14:textId="1867D3C0" w:rsidR="00670C79" w:rsidRDefault="00670C79" w:rsidP="00670C79">
      <w:pPr>
        <w:ind w:left="180"/>
        <w:rPr>
          <w:b/>
        </w:rPr>
      </w:pPr>
      <w:r w:rsidRPr="00520BE3">
        <w:rPr>
          <w:b/>
        </w:rPr>
        <w:t>Secţiunea a 8- a. Măsuri de implementare</w:t>
      </w:r>
    </w:p>
    <w:p w14:paraId="62332625" w14:textId="77777777" w:rsidR="00DB71DB" w:rsidRDefault="00DB71DB" w:rsidP="00670C79">
      <w:pPr>
        <w:ind w:left="180"/>
        <w:rPr>
          <w:b/>
        </w:rPr>
      </w:pPr>
    </w:p>
    <w:p w14:paraId="13F26AF3" w14:textId="707983CF" w:rsidR="007C16BF" w:rsidRDefault="007C16BF" w:rsidP="00670C79">
      <w:pPr>
        <w:ind w:left="180"/>
        <w:rPr>
          <w:b/>
        </w:rPr>
      </w:pPr>
    </w:p>
    <w:p w14:paraId="00C29776" w14:textId="77777777" w:rsidR="00DB71DB" w:rsidRDefault="00DB71DB" w:rsidP="00670C79">
      <w:pPr>
        <w:ind w:left="180"/>
        <w:rPr>
          <w:b/>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520BE3" w:rsidRPr="00520BE3" w14:paraId="5DF118D5" w14:textId="77777777" w:rsidTr="00E20EAD">
        <w:tc>
          <w:tcPr>
            <w:tcW w:w="3931" w:type="dxa"/>
          </w:tcPr>
          <w:p w14:paraId="428F02E7" w14:textId="397BA6B3" w:rsidR="00575BCE" w:rsidRPr="00520BE3" w:rsidRDefault="00670C79" w:rsidP="005C5DD4">
            <w:pPr>
              <w:jc w:val="both"/>
            </w:pPr>
            <w:r w:rsidRPr="00520BE3">
              <w:t>1. Măsuri de punere în aplicare a proiectului de act normativ de către autorităţile administrative publice centrale şi/sau locale-înfiinţarea sau extinderea competenţei instituţiilor existente</w:t>
            </w:r>
          </w:p>
        </w:tc>
        <w:tc>
          <w:tcPr>
            <w:tcW w:w="6329" w:type="dxa"/>
            <w:vAlign w:val="center"/>
          </w:tcPr>
          <w:p w14:paraId="036F3FD9" w14:textId="77777777" w:rsidR="00670C79" w:rsidRPr="00520BE3" w:rsidRDefault="00670C79" w:rsidP="006A5A1B">
            <w:pPr>
              <w:pStyle w:val="Heading1"/>
              <w:jc w:val="both"/>
              <w:rPr>
                <w:sz w:val="24"/>
              </w:rPr>
            </w:pPr>
            <w:r w:rsidRPr="00520BE3">
              <w:rPr>
                <w:sz w:val="24"/>
              </w:rPr>
              <w:t>Proiectul de act normativ nu se referă la acest subiect.</w:t>
            </w:r>
          </w:p>
        </w:tc>
      </w:tr>
      <w:tr w:rsidR="00520BE3" w:rsidRPr="00520BE3" w14:paraId="527F2573" w14:textId="77777777" w:rsidTr="00E20EAD">
        <w:tc>
          <w:tcPr>
            <w:tcW w:w="3931" w:type="dxa"/>
          </w:tcPr>
          <w:p w14:paraId="05529BA5" w14:textId="77777777" w:rsidR="00670C79" w:rsidRPr="00520BE3" w:rsidRDefault="00670C79" w:rsidP="006A5A1B">
            <w:pPr>
              <w:jc w:val="both"/>
            </w:pPr>
            <w:r w:rsidRPr="00520BE3">
              <w:t>2. Alte informaţii</w:t>
            </w:r>
          </w:p>
        </w:tc>
        <w:tc>
          <w:tcPr>
            <w:tcW w:w="6329" w:type="dxa"/>
            <w:vAlign w:val="center"/>
          </w:tcPr>
          <w:p w14:paraId="4D29AA82" w14:textId="6FD4430D" w:rsidR="00575BCE" w:rsidRPr="00520BE3" w:rsidRDefault="00670C79" w:rsidP="00724EF9">
            <w:pPr>
              <w:jc w:val="both"/>
            </w:pPr>
            <w:r w:rsidRPr="00520BE3">
              <w:t>Nu au fost identificate.</w:t>
            </w:r>
          </w:p>
        </w:tc>
      </w:tr>
    </w:tbl>
    <w:p w14:paraId="57361B27" w14:textId="77777777" w:rsidR="0016785A" w:rsidRDefault="0016785A" w:rsidP="00E07299">
      <w:pPr>
        <w:widowControl w:val="0"/>
        <w:spacing w:line="276" w:lineRule="auto"/>
        <w:jc w:val="both"/>
      </w:pPr>
    </w:p>
    <w:p w14:paraId="51BC92FD" w14:textId="77777777" w:rsidR="0016785A" w:rsidRDefault="0016785A" w:rsidP="00E07299">
      <w:pPr>
        <w:widowControl w:val="0"/>
        <w:spacing w:line="276" w:lineRule="auto"/>
        <w:jc w:val="both"/>
      </w:pPr>
    </w:p>
    <w:p w14:paraId="441005DA" w14:textId="35BD452D" w:rsidR="00DB71DB" w:rsidRDefault="00DB71DB" w:rsidP="00E07299">
      <w:pPr>
        <w:widowControl w:val="0"/>
        <w:spacing w:line="276" w:lineRule="auto"/>
        <w:jc w:val="both"/>
      </w:pPr>
    </w:p>
    <w:p w14:paraId="04ED1DF1" w14:textId="0530DE94" w:rsidR="006B075E" w:rsidRDefault="00670C79" w:rsidP="00E07299">
      <w:pPr>
        <w:widowControl w:val="0"/>
        <w:spacing w:line="276" w:lineRule="auto"/>
        <w:jc w:val="both"/>
      </w:pPr>
      <w:r w:rsidRPr="00520BE3">
        <w:lastRenderedPageBreak/>
        <w:t xml:space="preserve">Faţă de cele prezentate mai sus, a fost promovat prezentul proiect </w:t>
      </w:r>
      <w:r w:rsidRPr="00DC663A">
        <w:t xml:space="preserve">de </w:t>
      </w:r>
      <w:r w:rsidR="00365A86">
        <w:rPr>
          <w:b/>
          <w:lang w:eastAsia="ro-RO"/>
        </w:rPr>
        <w:t xml:space="preserve">Ordonanţă de urgenţă </w:t>
      </w:r>
      <w:r w:rsidR="005E318B" w:rsidRPr="00AA6FD4">
        <w:rPr>
          <w:b/>
          <w:i/>
          <w:lang w:eastAsia="ro-RO"/>
        </w:rPr>
        <w:t xml:space="preserve">pentru completarea </w:t>
      </w:r>
      <w:r w:rsidR="005E494D" w:rsidRPr="00AA6FD4">
        <w:rPr>
          <w:b/>
          <w:i/>
        </w:rPr>
        <w:t>O</w:t>
      </w:r>
      <w:r w:rsidR="003F7AF4">
        <w:rPr>
          <w:b/>
          <w:i/>
        </w:rPr>
        <w:t xml:space="preserve">rdonanței de urgență a </w:t>
      </w:r>
      <w:r w:rsidR="005E494D" w:rsidRPr="00AA6FD4">
        <w:rPr>
          <w:b/>
          <w:i/>
        </w:rPr>
        <w:t>G</w:t>
      </w:r>
      <w:r w:rsidR="003F7AF4">
        <w:rPr>
          <w:b/>
          <w:i/>
        </w:rPr>
        <w:t>uvernului</w:t>
      </w:r>
      <w:r w:rsidR="005E494D" w:rsidRPr="00AA6FD4">
        <w:rPr>
          <w:b/>
          <w:i/>
        </w:rPr>
        <w:t xml:space="preserve"> nr. 40/2015 privind gestionarea financiară a fondurilor europene pentru perioada de programare 2014-2020</w:t>
      </w:r>
      <w:r w:rsidR="005E494D">
        <w:rPr>
          <w:b/>
        </w:rPr>
        <w:t xml:space="preserve">, </w:t>
      </w:r>
      <w:r w:rsidR="00E07299" w:rsidRPr="00520BE3">
        <w:t>care</w:t>
      </w:r>
      <w:r w:rsidRPr="00520BE3">
        <w:t xml:space="preserve"> în forma prezentată, a fost avizat de </w:t>
      </w:r>
      <w:r w:rsidR="008752C0" w:rsidRPr="00520BE3">
        <w:t xml:space="preserve">Consiliul Legislativ, precum şi de către </w:t>
      </w:r>
      <w:r w:rsidRPr="00520BE3">
        <w:t>ministerele interesate şi pe care îl supunem adoptării.</w:t>
      </w:r>
    </w:p>
    <w:p w14:paraId="3054FE2B" w14:textId="47A7883E" w:rsidR="008C471E" w:rsidRDefault="008C471E" w:rsidP="00E07299">
      <w:pPr>
        <w:widowControl w:val="0"/>
        <w:spacing w:line="276" w:lineRule="auto"/>
        <w:jc w:val="both"/>
        <w:rPr>
          <w:b/>
          <w:lang w:eastAsia="ro-RO"/>
        </w:rPr>
      </w:pPr>
    </w:p>
    <w:p w14:paraId="01229D73" w14:textId="77777777" w:rsidR="008C471E" w:rsidRPr="005E318B" w:rsidRDefault="008C471E" w:rsidP="00E07299">
      <w:pPr>
        <w:widowControl w:val="0"/>
        <w:spacing w:line="276" w:lineRule="auto"/>
        <w:jc w:val="both"/>
        <w:rPr>
          <w:b/>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5529"/>
      </w:tblGrid>
      <w:tr w:rsidR="00AA6FD4" w:rsidRPr="008C471E" w14:paraId="0A365F3B" w14:textId="77777777" w:rsidTr="00AA6FD4">
        <w:tc>
          <w:tcPr>
            <w:tcW w:w="5211" w:type="dxa"/>
          </w:tcPr>
          <w:p w14:paraId="7A60C5DC" w14:textId="0FAC272C" w:rsidR="00AA6FD4" w:rsidRDefault="00AA6FD4" w:rsidP="008C471E">
            <w:pPr>
              <w:jc w:val="center"/>
              <w:rPr>
                <w:b/>
                <w:bCs/>
              </w:rPr>
            </w:pPr>
            <w:r w:rsidRPr="005C5DD4">
              <w:rPr>
                <w:b/>
                <w:bCs/>
              </w:rPr>
              <w:t>MINISTRUL FONDURILOR EUROPENE</w:t>
            </w:r>
          </w:p>
          <w:p w14:paraId="5A6776AF" w14:textId="4E40FE27" w:rsidR="00AA6FD4" w:rsidRDefault="00AA6FD4" w:rsidP="008C471E">
            <w:pPr>
              <w:jc w:val="center"/>
              <w:rPr>
                <w:b/>
                <w:bCs/>
              </w:rPr>
            </w:pPr>
          </w:p>
          <w:p w14:paraId="2E62EB32" w14:textId="77777777" w:rsidR="00AA6FD4" w:rsidRPr="005C5DD4" w:rsidRDefault="00AA6FD4" w:rsidP="008C471E">
            <w:pPr>
              <w:jc w:val="center"/>
              <w:rPr>
                <w:b/>
                <w:bCs/>
              </w:rPr>
            </w:pPr>
          </w:p>
          <w:p w14:paraId="6D937976" w14:textId="77777777" w:rsidR="00AA6FD4" w:rsidRPr="005C5DD4" w:rsidRDefault="00AA6FD4" w:rsidP="008C471E">
            <w:pPr>
              <w:jc w:val="center"/>
              <w:rPr>
                <w:b/>
                <w:bCs/>
              </w:rPr>
            </w:pPr>
          </w:p>
          <w:p w14:paraId="4DA79D7A" w14:textId="77777777" w:rsidR="00AA6FD4" w:rsidRPr="005C5DD4" w:rsidRDefault="00AA6FD4" w:rsidP="008C471E">
            <w:pPr>
              <w:jc w:val="center"/>
              <w:rPr>
                <w:b/>
                <w:bCs/>
              </w:rPr>
            </w:pPr>
            <w:r w:rsidRPr="005C5DD4">
              <w:rPr>
                <w:b/>
                <w:bCs/>
              </w:rPr>
              <w:t xml:space="preserve">Ioan Marcel BOLOŞ </w:t>
            </w:r>
          </w:p>
          <w:p w14:paraId="5F247874" w14:textId="77777777" w:rsidR="00AA6FD4" w:rsidRDefault="00AA6FD4" w:rsidP="00565752">
            <w:pPr>
              <w:jc w:val="both"/>
              <w:rPr>
                <w:sz w:val="22"/>
                <w:szCs w:val="22"/>
              </w:rPr>
            </w:pPr>
          </w:p>
        </w:tc>
        <w:tc>
          <w:tcPr>
            <w:tcW w:w="5529" w:type="dxa"/>
          </w:tcPr>
          <w:p w14:paraId="0546892F" w14:textId="77777777" w:rsidR="00AA6FD4" w:rsidRPr="005C5DD4" w:rsidRDefault="00AA6FD4" w:rsidP="008C471E">
            <w:pPr>
              <w:jc w:val="center"/>
              <w:rPr>
                <w:b/>
                <w:bCs/>
              </w:rPr>
            </w:pPr>
            <w:r w:rsidRPr="005C5DD4">
              <w:rPr>
                <w:b/>
                <w:bCs/>
              </w:rPr>
              <w:t xml:space="preserve">MINISTRUL TRANSPORTURILOR, INFRASTRUCTURII </w:t>
            </w:r>
          </w:p>
          <w:p w14:paraId="7E09808D" w14:textId="77777777" w:rsidR="00AA6FD4" w:rsidRPr="005C5DD4" w:rsidRDefault="00AA6FD4" w:rsidP="008C471E">
            <w:pPr>
              <w:jc w:val="center"/>
              <w:rPr>
                <w:b/>
                <w:bCs/>
              </w:rPr>
            </w:pPr>
            <w:r w:rsidRPr="005C5DD4">
              <w:rPr>
                <w:b/>
                <w:bCs/>
              </w:rPr>
              <w:t>ȘI COMUNICAȚIILOR</w:t>
            </w:r>
          </w:p>
          <w:p w14:paraId="4D958F11" w14:textId="77777777" w:rsidR="00AA6FD4" w:rsidRPr="005C5DD4" w:rsidRDefault="00AA6FD4" w:rsidP="008C471E">
            <w:pPr>
              <w:jc w:val="center"/>
              <w:rPr>
                <w:b/>
                <w:bCs/>
              </w:rPr>
            </w:pPr>
          </w:p>
          <w:p w14:paraId="7D9E641A" w14:textId="77777777" w:rsidR="00AA6FD4" w:rsidRPr="005C5DD4" w:rsidRDefault="00AA6FD4" w:rsidP="008C471E">
            <w:pPr>
              <w:shd w:val="clear" w:color="auto" w:fill="FFFFFF"/>
              <w:jc w:val="center"/>
              <w:rPr>
                <w:b/>
                <w:bCs/>
              </w:rPr>
            </w:pPr>
            <w:r w:rsidRPr="005C5DD4">
              <w:rPr>
                <w:b/>
                <w:bCs/>
              </w:rPr>
              <w:t>Lucian Nicolae BODE</w:t>
            </w:r>
          </w:p>
          <w:p w14:paraId="152DF4CD" w14:textId="77777777" w:rsidR="00AA6FD4" w:rsidRDefault="00AA6FD4" w:rsidP="00565752">
            <w:pPr>
              <w:jc w:val="both"/>
              <w:rPr>
                <w:sz w:val="22"/>
                <w:szCs w:val="22"/>
              </w:rPr>
            </w:pPr>
          </w:p>
        </w:tc>
      </w:tr>
    </w:tbl>
    <w:p w14:paraId="136FB310" w14:textId="77777777" w:rsidR="00DB19FF" w:rsidRDefault="00DB19FF" w:rsidP="00565752">
      <w:pPr>
        <w:jc w:val="both"/>
        <w:rPr>
          <w:sz w:val="22"/>
          <w:szCs w:val="22"/>
        </w:rPr>
      </w:pPr>
    </w:p>
    <w:p w14:paraId="0C53FECC" w14:textId="77777777" w:rsidR="00381090" w:rsidRDefault="00381090" w:rsidP="00565752">
      <w:pPr>
        <w:jc w:val="both"/>
        <w:rPr>
          <w:sz w:val="22"/>
          <w:szCs w:val="22"/>
        </w:rPr>
      </w:pPr>
    </w:p>
    <w:p w14:paraId="199332E3" w14:textId="77777777" w:rsidR="00EE79AE" w:rsidRPr="005C5DD4" w:rsidRDefault="00EE79AE" w:rsidP="00565752">
      <w:pPr>
        <w:jc w:val="both"/>
        <w:rPr>
          <w:sz w:val="22"/>
          <w:szCs w:val="22"/>
        </w:rPr>
      </w:pPr>
    </w:p>
    <w:p w14:paraId="5183F050" w14:textId="3A8A2AF7" w:rsidR="005D4F6E" w:rsidRDefault="005D4F6E" w:rsidP="00C9066A">
      <w:pPr>
        <w:spacing w:after="240"/>
        <w:ind w:left="720" w:hanging="720"/>
        <w:jc w:val="center"/>
        <w:rPr>
          <w:b/>
          <w:u w:val="single"/>
        </w:rPr>
      </w:pPr>
      <w:r w:rsidRPr="005C5DD4">
        <w:rPr>
          <w:b/>
          <w:u w:val="single"/>
        </w:rPr>
        <w:t>AVIZĂM FAVORABIL:</w:t>
      </w:r>
    </w:p>
    <w:p w14:paraId="6BC86D57" w14:textId="77777777" w:rsidR="00AA6FD4" w:rsidRPr="005C5DD4" w:rsidRDefault="00AA6FD4" w:rsidP="00C9066A">
      <w:pPr>
        <w:spacing w:after="240"/>
        <w:ind w:left="720" w:hanging="720"/>
        <w:jc w:val="center"/>
        <w:rPr>
          <w:b/>
          <w:u w:val="single"/>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5137"/>
      </w:tblGrid>
      <w:tr w:rsidR="005C5DD4" w:rsidRPr="005C5DD4" w14:paraId="67DCF2F2" w14:textId="77777777" w:rsidTr="00B174D2">
        <w:trPr>
          <w:trHeight w:val="1394"/>
        </w:trPr>
        <w:tc>
          <w:tcPr>
            <w:tcW w:w="5069" w:type="dxa"/>
          </w:tcPr>
          <w:p w14:paraId="35F5F67E" w14:textId="77777777" w:rsidR="005C5DD4" w:rsidRPr="005C5DD4" w:rsidRDefault="005C5DD4" w:rsidP="00EE79AE">
            <w:pPr>
              <w:ind w:left="-102" w:firstLine="102"/>
              <w:jc w:val="center"/>
              <w:rPr>
                <w:b/>
              </w:rPr>
            </w:pPr>
            <w:r w:rsidRPr="005C5DD4">
              <w:rPr>
                <w:b/>
              </w:rPr>
              <w:t xml:space="preserve">MINISTRUL LUCRĂRILOR PUBLICE, DEZVOLTĂRII ŞI ADMINISTRAȚIEI </w:t>
            </w:r>
          </w:p>
          <w:p w14:paraId="37FE1006" w14:textId="77777777" w:rsidR="005C5DD4" w:rsidRPr="005C5DD4" w:rsidRDefault="005C5DD4">
            <w:pPr>
              <w:ind w:left="720" w:hanging="720"/>
              <w:jc w:val="center"/>
              <w:rPr>
                <w:b/>
              </w:rPr>
            </w:pPr>
          </w:p>
          <w:p w14:paraId="7520C5A1" w14:textId="77777777" w:rsidR="005C5DD4" w:rsidRDefault="005C5DD4">
            <w:pPr>
              <w:ind w:left="720" w:hanging="720"/>
              <w:jc w:val="center"/>
              <w:rPr>
                <w:b/>
              </w:rPr>
            </w:pPr>
            <w:r w:rsidRPr="005C5DD4">
              <w:rPr>
                <w:b/>
              </w:rPr>
              <w:t>Ion ŞTEFAN</w:t>
            </w:r>
          </w:p>
          <w:p w14:paraId="054A9718" w14:textId="77777777" w:rsidR="00EE79AE" w:rsidRDefault="00EE79AE">
            <w:pPr>
              <w:ind w:left="720" w:hanging="720"/>
              <w:jc w:val="center"/>
              <w:rPr>
                <w:b/>
              </w:rPr>
            </w:pPr>
          </w:p>
          <w:p w14:paraId="7F6490C1" w14:textId="67DD7353" w:rsidR="00EE79AE" w:rsidRPr="005C5DD4" w:rsidRDefault="00EE79AE">
            <w:pPr>
              <w:ind w:left="720" w:hanging="720"/>
              <w:jc w:val="center"/>
              <w:rPr>
                <w:b/>
                <w:u w:val="single"/>
              </w:rPr>
            </w:pPr>
          </w:p>
        </w:tc>
        <w:tc>
          <w:tcPr>
            <w:tcW w:w="5137" w:type="dxa"/>
          </w:tcPr>
          <w:p w14:paraId="05215EDD" w14:textId="77777777" w:rsidR="00AA6FD4" w:rsidRPr="005C5DD4" w:rsidRDefault="00AA6FD4" w:rsidP="00AA6FD4">
            <w:pPr>
              <w:ind w:left="720" w:hanging="720"/>
              <w:jc w:val="center"/>
              <w:rPr>
                <w:b/>
                <w:bCs/>
              </w:rPr>
            </w:pPr>
            <w:r w:rsidRPr="005C5DD4">
              <w:rPr>
                <w:b/>
                <w:bCs/>
              </w:rPr>
              <w:t>MINISTRUL FINANŢELOR PUBLICE</w:t>
            </w:r>
          </w:p>
          <w:p w14:paraId="6C40E63A" w14:textId="77777777" w:rsidR="00AA6FD4" w:rsidRDefault="00AA6FD4" w:rsidP="00AA6FD4">
            <w:pPr>
              <w:jc w:val="center"/>
              <w:rPr>
                <w:b/>
                <w:bCs/>
              </w:rPr>
            </w:pPr>
          </w:p>
          <w:p w14:paraId="10CD23C7" w14:textId="77777777" w:rsidR="00AA6FD4" w:rsidRPr="005C5DD4" w:rsidRDefault="00AA6FD4" w:rsidP="00AA6FD4">
            <w:pPr>
              <w:jc w:val="center"/>
              <w:rPr>
                <w:b/>
                <w:bCs/>
              </w:rPr>
            </w:pPr>
          </w:p>
          <w:p w14:paraId="28E24191" w14:textId="77777777" w:rsidR="00AA6FD4" w:rsidRPr="005C5DD4" w:rsidRDefault="00AA6FD4" w:rsidP="00AA6FD4">
            <w:pPr>
              <w:jc w:val="center"/>
              <w:rPr>
                <w:b/>
                <w:bCs/>
              </w:rPr>
            </w:pPr>
            <w:r w:rsidRPr="005C5DD4">
              <w:rPr>
                <w:b/>
                <w:bCs/>
              </w:rPr>
              <w:t>Vasile-Florin CÎŢU</w:t>
            </w:r>
          </w:p>
          <w:p w14:paraId="65E77282" w14:textId="77777777" w:rsidR="00F468B8" w:rsidRPr="005C5DD4" w:rsidRDefault="00F468B8" w:rsidP="00FF2CC0">
            <w:pPr>
              <w:ind w:left="720" w:hanging="720"/>
              <w:jc w:val="center"/>
              <w:rPr>
                <w:b/>
              </w:rPr>
            </w:pPr>
          </w:p>
          <w:p w14:paraId="3F13E6A9" w14:textId="77777777" w:rsidR="005C5DD4" w:rsidRDefault="005C5DD4" w:rsidP="00EE79AE">
            <w:pPr>
              <w:jc w:val="center"/>
              <w:rPr>
                <w:b/>
                <w:u w:val="single"/>
              </w:rPr>
            </w:pPr>
          </w:p>
          <w:p w14:paraId="7984C412" w14:textId="77777777" w:rsidR="00EE79AE" w:rsidRDefault="00EE79AE" w:rsidP="00EE79AE">
            <w:pPr>
              <w:jc w:val="center"/>
              <w:rPr>
                <w:b/>
                <w:u w:val="single"/>
              </w:rPr>
            </w:pPr>
          </w:p>
          <w:p w14:paraId="5012448F" w14:textId="77777777" w:rsidR="00EE79AE" w:rsidRPr="005C5DD4" w:rsidRDefault="00EE79AE" w:rsidP="00EE79AE">
            <w:pPr>
              <w:jc w:val="center"/>
              <w:rPr>
                <w:b/>
                <w:u w:val="single"/>
              </w:rPr>
            </w:pPr>
          </w:p>
        </w:tc>
      </w:tr>
      <w:tr w:rsidR="00AA6FD4" w:rsidRPr="005C5DD4" w14:paraId="6B1AB8B3" w14:textId="77777777" w:rsidTr="00B174D2">
        <w:trPr>
          <w:trHeight w:val="1129"/>
        </w:trPr>
        <w:tc>
          <w:tcPr>
            <w:tcW w:w="10206" w:type="dxa"/>
            <w:gridSpan w:val="2"/>
          </w:tcPr>
          <w:p w14:paraId="36DE3466" w14:textId="77777777" w:rsidR="00AA6FD4" w:rsidRDefault="00AA6FD4" w:rsidP="008C471E">
            <w:pPr>
              <w:shd w:val="clear" w:color="auto" w:fill="FFFFFF"/>
              <w:jc w:val="center"/>
              <w:rPr>
                <w:rFonts w:eastAsia="Arial Unicode MS"/>
                <w:b/>
              </w:rPr>
            </w:pPr>
            <w:r w:rsidRPr="005C5DD4">
              <w:rPr>
                <w:rFonts w:eastAsia="Arial Unicode MS"/>
                <w:b/>
              </w:rPr>
              <w:t>MINISTRUL JUSTIŢIEI</w:t>
            </w:r>
          </w:p>
          <w:p w14:paraId="058CF9EF" w14:textId="67EB7896" w:rsidR="00AA6FD4" w:rsidRDefault="00AA6FD4" w:rsidP="008C471E">
            <w:pPr>
              <w:shd w:val="clear" w:color="auto" w:fill="FFFFFF"/>
              <w:jc w:val="center"/>
              <w:rPr>
                <w:rFonts w:eastAsia="Arial Unicode MS"/>
                <w:b/>
              </w:rPr>
            </w:pPr>
          </w:p>
          <w:p w14:paraId="4F7E12FE" w14:textId="77777777" w:rsidR="00AA6FD4" w:rsidRPr="005C5DD4" w:rsidRDefault="00AA6FD4" w:rsidP="008C471E">
            <w:pPr>
              <w:shd w:val="clear" w:color="auto" w:fill="FFFFFF"/>
              <w:jc w:val="center"/>
              <w:rPr>
                <w:rFonts w:eastAsia="Arial Unicode MS"/>
                <w:b/>
              </w:rPr>
            </w:pPr>
          </w:p>
          <w:p w14:paraId="0C5D073D" w14:textId="77777777" w:rsidR="00AA6FD4" w:rsidRPr="005C5DD4" w:rsidRDefault="00AA6FD4" w:rsidP="008C471E">
            <w:pPr>
              <w:shd w:val="clear" w:color="auto" w:fill="FFFFFF"/>
              <w:jc w:val="center"/>
              <w:rPr>
                <w:rFonts w:eastAsia="Arial Unicode MS"/>
                <w:b/>
              </w:rPr>
            </w:pPr>
            <w:r w:rsidRPr="005C5DD4">
              <w:rPr>
                <w:rFonts w:eastAsia="Arial Unicode MS"/>
                <w:b/>
              </w:rPr>
              <w:t xml:space="preserve">Marian Cătălin PREDOIU </w:t>
            </w:r>
          </w:p>
          <w:p w14:paraId="7126EEDF" w14:textId="77777777" w:rsidR="00AA6FD4" w:rsidRDefault="00AA6FD4" w:rsidP="005C5DD4">
            <w:pPr>
              <w:spacing w:after="120"/>
              <w:ind w:left="720" w:hanging="720"/>
              <w:jc w:val="center"/>
              <w:rPr>
                <w:b/>
                <w:u w:val="single"/>
              </w:rPr>
            </w:pPr>
          </w:p>
          <w:p w14:paraId="5C029BAA" w14:textId="2278002D" w:rsidR="00AA6FD4" w:rsidRPr="005C5DD4" w:rsidRDefault="00AA6FD4" w:rsidP="005C5DD4">
            <w:pPr>
              <w:spacing w:after="120"/>
              <w:ind w:left="720" w:hanging="720"/>
              <w:jc w:val="center"/>
              <w:rPr>
                <w:b/>
                <w:u w:val="single"/>
              </w:rPr>
            </w:pPr>
          </w:p>
        </w:tc>
      </w:tr>
    </w:tbl>
    <w:p w14:paraId="2FE63731" w14:textId="39315113" w:rsidR="00381090" w:rsidRDefault="00381090" w:rsidP="00647401">
      <w:pPr>
        <w:spacing w:after="160" w:line="259" w:lineRule="auto"/>
        <w:rPr>
          <w:rFonts w:ascii="Trebuchet MS" w:eastAsia="Calibri" w:hAnsi="Trebuchet MS"/>
          <w:b/>
          <w:sz w:val="22"/>
          <w:szCs w:val="22"/>
        </w:rPr>
      </w:pPr>
    </w:p>
    <w:p w14:paraId="1A241DD7" w14:textId="77777777" w:rsidR="00A822B2" w:rsidRDefault="00A822B2" w:rsidP="00647401">
      <w:pPr>
        <w:spacing w:after="160" w:line="259" w:lineRule="auto"/>
        <w:rPr>
          <w:rFonts w:ascii="Trebuchet MS" w:eastAsia="Calibri" w:hAnsi="Trebuchet MS"/>
          <w:b/>
          <w:sz w:val="22"/>
          <w:szCs w:val="22"/>
        </w:rPr>
      </w:pPr>
    </w:p>
    <w:p w14:paraId="29CE6028" w14:textId="77777777" w:rsidR="00A822B2" w:rsidRPr="002A2C53" w:rsidRDefault="00A822B2" w:rsidP="00883375">
      <w:pPr>
        <w:spacing w:line="360" w:lineRule="auto"/>
        <w:rPr>
          <w:rFonts w:eastAsia="Trebuchet MS"/>
          <w:b/>
          <w:sz w:val="22"/>
          <w:szCs w:val="22"/>
        </w:rPr>
      </w:pPr>
    </w:p>
    <w:sectPr w:rsidR="00A822B2" w:rsidRPr="002A2C53" w:rsidSect="000D4132">
      <w:footerReference w:type="even" r:id="rId8"/>
      <w:footerReference w:type="default" r:id="rId9"/>
      <w:pgSz w:w="12240" w:h="15840"/>
      <w:pgMar w:top="737" w:right="851" w:bottom="54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E8DB2" w14:textId="77777777" w:rsidR="004D6F01" w:rsidRDefault="004D6F01">
      <w:r>
        <w:separator/>
      </w:r>
    </w:p>
  </w:endnote>
  <w:endnote w:type="continuationSeparator" w:id="0">
    <w:p w14:paraId="7EFF280D" w14:textId="77777777" w:rsidR="004D6F01" w:rsidRDefault="004D6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4D6F01"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1042087"/>
      <w:docPartObj>
        <w:docPartGallery w:val="Page Numbers (Bottom of Page)"/>
        <w:docPartUnique/>
      </w:docPartObj>
    </w:sdtPr>
    <w:sdtEndPr>
      <w:rPr>
        <w:noProof/>
      </w:rPr>
    </w:sdtEndPr>
    <w:sdtContent>
      <w:p w14:paraId="31653F21" w14:textId="4F64313F" w:rsidR="00BA47F0" w:rsidRDefault="00BA47F0">
        <w:pPr>
          <w:pStyle w:val="Footer"/>
          <w:jc w:val="right"/>
        </w:pPr>
        <w:r>
          <w:fldChar w:fldCharType="begin"/>
        </w:r>
        <w:r>
          <w:instrText xml:space="preserve"> PAGE   \* MERGEFORMAT </w:instrText>
        </w:r>
        <w:r>
          <w:fldChar w:fldCharType="separate"/>
        </w:r>
        <w:r w:rsidR="00883375">
          <w:rPr>
            <w:noProof/>
          </w:rPr>
          <w:t>8</w:t>
        </w:r>
        <w:r>
          <w:rPr>
            <w:noProof/>
          </w:rPr>
          <w:fldChar w:fldCharType="end"/>
        </w:r>
      </w:p>
    </w:sdtContent>
  </w:sdt>
  <w:p w14:paraId="0C442F9A" w14:textId="77777777" w:rsidR="00EA23CB" w:rsidRDefault="004D6F01"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B7E938" w14:textId="77777777" w:rsidR="004D6F01" w:rsidRDefault="004D6F01">
      <w:r>
        <w:separator/>
      </w:r>
    </w:p>
  </w:footnote>
  <w:footnote w:type="continuationSeparator" w:id="0">
    <w:p w14:paraId="3CC038D9" w14:textId="77777777" w:rsidR="004D6F01" w:rsidRDefault="004D6F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7EA6"/>
    <w:rsid w:val="000019B6"/>
    <w:rsid w:val="00002E4A"/>
    <w:rsid w:val="00006F20"/>
    <w:rsid w:val="00013621"/>
    <w:rsid w:val="000155D5"/>
    <w:rsid w:val="00017D04"/>
    <w:rsid w:val="00024F37"/>
    <w:rsid w:val="00025015"/>
    <w:rsid w:val="00026B13"/>
    <w:rsid w:val="00027469"/>
    <w:rsid w:val="00040B7B"/>
    <w:rsid w:val="00043471"/>
    <w:rsid w:val="00043911"/>
    <w:rsid w:val="0004452D"/>
    <w:rsid w:val="00054869"/>
    <w:rsid w:val="000563C0"/>
    <w:rsid w:val="00057629"/>
    <w:rsid w:val="00064A6B"/>
    <w:rsid w:val="00073195"/>
    <w:rsid w:val="000733D3"/>
    <w:rsid w:val="0007609F"/>
    <w:rsid w:val="00076C55"/>
    <w:rsid w:val="00081475"/>
    <w:rsid w:val="00083DB6"/>
    <w:rsid w:val="00083EAF"/>
    <w:rsid w:val="00085904"/>
    <w:rsid w:val="00086114"/>
    <w:rsid w:val="00087383"/>
    <w:rsid w:val="00090676"/>
    <w:rsid w:val="00094481"/>
    <w:rsid w:val="000A06E8"/>
    <w:rsid w:val="000A6298"/>
    <w:rsid w:val="000A71F1"/>
    <w:rsid w:val="000B55D8"/>
    <w:rsid w:val="000B665D"/>
    <w:rsid w:val="000B7506"/>
    <w:rsid w:val="000C3277"/>
    <w:rsid w:val="000C4A4F"/>
    <w:rsid w:val="000C7EAF"/>
    <w:rsid w:val="000D4132"/>
    <w:rsid w:val="000D4C09"/>
    <w:rsid w:val="000E2C2D"/>
    <w:rsid w:val="000E3A58"/>
    <w:rsid w:val="000F40EF"/>
    <w:rsid w:val="00100251"/>
    <w:rsid w:val="00101A9B"/>
    <w:rsid w:val="001023B0"/>
    <w:rsid w:val="0010482B"/>
    <w:rsid w:val="00105808"/>
    <w:rsid w:val="00107736"/>
    <w:rsid w:val="00107E28"/>
    <w:rsid w:val="00112E9E"/>
    <w:rsid w:val="00121CCC"/>
    <w:rsid w:val="00126BBF"/>
    <w:rsid w:val="00131281"/>
    <w:rsid w:val="001313D8"/>
    <w:rsid w:val="00133A3B"/>
    <w:rsid w:val="001459BC"/>
    <w:rsid w:val="00152085"/>
    <w:rsid w:val="0015446A"/>
    <w:rsid w:val="0015762E"/>
    <w:rsid w:val="00161A61"/>
    <w:rsid w:val="00164FF3"/>
    <w:rsid w:val="00165A07"/>
    <w:rsid w:val="0016785A"/>
    <w:rsid w:val="00167EF9"/>
    <w:rsid w:val="00172493"/>
    <w:rsid w:val="0017630C"/>
    <w:rsid w:val="00177EC3"/>
    <w:rsid w:val="0019189C"/>
    <w:rsid w:val="001919CC"/>
    <w:rsid w:val="001A1D31"/>
    <w:rsid w:val="001A374F"/>
    <w:rsid w:val="001A4420"/>
    <w:rsid w:val="001A78A0"/>
    <w:rsid w:val="001A7C31"/>
    <w:rsid w:val="001B23D0"/>
    <w:rsid w:val="001B2B36"/>
    <w:rsid w:val="001B3B27"/>
    <w:rsid w:val="001B6DD8"/>
    <w:rsid w:val="001B7961"/>
    <w:rsid w:val="001C7510"/>
    <w:rsid w:val="001C7F48"/>
    <w:rsid w:val="001D0467"/>
    <w:rsid w:val="001D7448"/>
    <w:rsid w:val="001E058E"/>
    <w:rsid w:val="001F14A2"/>
    <w:rsid w:val="001F700D"/>
    <w:rsid w:val="001F733F"/>
    <w:rsid w:val="002116FE"/>
    <w:rsid w:val="00213877"/>
    <w:rsid w:val="00213BDB"/>
    <w:rsid w:val="00221987"/>
    <w:rsid w:val="00225653"/>
    <w:rsid w:val="00232ED4"/>
    <w:rsid w:val="002337CA"/>
    <w:rsid w:val="00233D49"/>
    <w:rsid w:val="00234AB0"/>
    <w:rsid w:val="002404F7"/>
    <w:rsid w:val="00244CF8"/>
    <w:rsid w:val="00251605"/>
    <w:rsid w:val="0025682E"/>
    <w:rsid w:val="0026115F"/>
    <w:rsid w:val="00262CFA"/>
    <w:rsid w:val="00267571"/>
    <w:rsid w:val="00271D4C"/>
    <w:rsid w:val="00275947"/>
    <w:rsid w:val="0027750A"/>
    <w:rsid w:val="00280BAF"/>
    <w:rsid w:val="00286173"/>
    <w:rsid w:val="00286DEC"/>
    <w:rsid w:val="00294152"/>
    <w:rsid w:val="0029430E"/>
    <w:rsid w:val="002A7775"/>
    <w:rsid w:val="002B2155"/>
    <w:rsid w:val="002B583C"/>
    <w:rsid w:val="002B689E"/>
    <w:rsid w:val="002B7888"/>
    <w:rsid w:val="002C1C7F"/>
    <w:rsid w:val="002C3361"/>
    <w:rsid w:val="002C37C4"/>
    <w:rsid w:val="002C4610"/>
    <w:rsid w:val="002C5396"/>
    <w:rsid w:val="002C6EEE"/>
    <w:rsid w:val="002D2048"/>
    <w:rsid w:val="002D519D"/>
    <w:rsid w:val="002D63DE"/>
    <w:rsid w:val="002E22BC"/>
    <w:rsid w:val="002E3AFC"/>
    <w:rsid w:val="002E6018"/>
    <w:rsid w:val="002E7E37"/>
    <w:rsid w:val="002F01BF"/>
    <w:rsid w:val="002F2645"/>
    <w:rsid w:val="00302ADB"/>
    <w:rsid w:val="00302D6F"/>
    <w:rsid w:val="00305061"/>
    <w:rsid w:val="0030581C"/>
    <w:rsid w:val="00306119"/>
    <w:rsid w:val="00315CB8"/>
    <w:rsid w:val="003179ED"/>
    <w:rsid w:val="00322480"/>
    <w:rsid w:val="00324938"/>
    <w:rsid w:val="00332715"/>
    <w:rsid w:val="00332FEB"/>
    <w:rsid w:val="00333AB9"/>
    <w:rsid w:val="00335C69"/>
    <w:rsid w:val="003456BD"/>
    <w:rsid w:val="003543EA"/>
    <w:rsid w:val="003545B2"/>
    <w:rsid w:val="00355C12"/>
    <w:rsid w:val="003569BD"/>
    <w:rsid w:val="003605E7"/>
    <w:rsid w:val="00365A86"/>
    <w:rsid w:val="0037559F"/>
    <w:rsid w:val="00381090"/>
    <w:rsid w:val="00385BC3"/>
    <w:rsid w:val="00390E31"/>
    <w:rsid w:val="00396A04"/>
    <w:rsid w:val="003B02B3"/>
    <w:rsid w:val="003B3A2C"/>
    <w:rsid w:val="003B424D"/>
    <w:rsid w:val="003C1670"/>
    <w:rsid w:val="003C19BF"/>
    <w:rsid w:val="003C6D3A"/>
    <w:rsid w:val="003D092D"/>
    <w:rsid w:val="003D4A34"/>
    <w:rsid w:val="003D6235"/>
    <w:rsid w:val="003E080A"/>
    <w:rsid w:val="003F046A"/>
    <w:rsid w:val="003F4EA4"/>
    <w:rsid w:val="003F5CF6"/>
    <w:rsid w:val="003F6ACA"/>
    <w:rsid w:val="003F7AF4"/>
    <w:rsid w:val="0040003B"/>
    <w:rsid w:val="004007BE"/>
    <w:rsid w:val="00405F21"/>
    <w:rsid w:val="0041039C"/>
    <w:rsid w:val="0042197D"/>
    <w:rsid w:val="004248D9"/>
    <w:rsid w:val="00425D30"/>
    <w:rsid w:val="00426482"/>
    <w:rsid w:val="004268A6"/>
    <w:rsid w:val="00434D7D"/>
    <w:rsid w:val="004362A6"/>
    <w:rsid w:val="00440136"/>
    <w:rsid w:val="004449A8"/>
    <w:rsid w:val="00445A50"/>
    <w:rsid w:val="00454D72"/>
    <w:rsid w:val="00461DC3"/>
    <w:rsid w:val="00463434"/>
    <w:rsid w:val="00464AED"/>
    <w:rsid w:val="00473382"/>
    <w:rsid w:val="00473DA2"/>
    <w:rsid w:val="00475C30"/>
    <w:rsid w:val="0047738F"/>
    <w:rsid w:val="004806BE"/>
    <w:rsid w:val="00493464"/>
    <w:rsid w:val="00495918"/>
    <w:rsid w:val="004A2289"/>
    <w:rsid w:val="004A26E1"/>
    <w:rsid w:val="004A39EE"/>
    <w:rsid w:val="004A51ED"/>
    <w:rsid w:val="004A6FCC"/>
    <w:rsid w:val="004B13DF"/>
    <w:rsid w:val="004B1759"/>
    <w:rsid w:val="004B1ABD"/>
    <w:rsid w:val="004B23FC"/>
    <w:rsid w:val="004B7CAD"/>
    <w:rsid w:val="004C07F9"/>
    <w:rsid w:val="004C103A"/>
    <w:rsid w:val="004D210B"/>
    <w:rsid w:val="004D279E"/>
    <w:rsid w:val="004D27EE"/>
    <w:rsid w:val="004D5BA3"/>
    <w:rsid w:val="004D6ABC"/>
    <w:rsid w:val="004D6F01"/>
    <w:rsid w:val="004E13AF"/>
    <w:rsid w:val="004E40FD"/>
    <w:rsid w:val="004E789F"/>
    <w:rsid w:val="004F0E4B"/>
    <w:rsid w:val="004F551E"/>
    <w:rsid w:val="00505AF3"/>
    <w:rsid w:val="00515920"/>
    <w:rsid w:val="00520345"/>
    <w:rsid w:val="00520BE3"/>
    <w:rsid w:val="00527866"/>
    <w:rsid w:val="00530AC8"/>
    <w:rsid w:val="0053145E"/>
    <w:rsid w:val="0053190B"/>
    <w:rsid w:val="00533DD2"/>
    <w:rsid w:val="00533E19"/>
    <w:rsid w:val="00542411"/>
    <w:rsid w:val="00554716"/>
    <w:rsid w:val="00562652"/>
    <w:rsid w:val="005649C0"/>
    <w:rsid w:val="00565752"/>
    <w:rsid w:val="00566969"/>
    <w:rsid w:val="00566EBF"/>
    <w:rsid w:val="00571569"/>
    <w:rsid w:val="00575BCE"/>
    <w:rsid w:val="0057730A"/>
    <w:rsid w:val="00577623"/>
    <w:rsid w:val="00584BC8"/>
    <w:rsid w:val="0059789A"/>
    <w:rsid w:val="00597910"/>
    <w:rsid w:val="005A133E"/>
    <w:rsid w:val="005A1D6C"/>
    <w:rsid w:val="005A2F37"/>
    <w:rsid w:val="005A47ED"/>
    <w:rsid w:val="005A5A3E"/>
    <w:rsid w:val="005A5D29"/>
    <w:rsid w:val="005B02AB"/>
    <w:rsid w:val="005B31F7"/>
    <w:rsid w:val="005B58FF"/>
    <w:rsid w:val="005B716F"/>
    <w:rsid w:val="005C2F53"/>
    <w:rsid w:val="005C5DD4"/>
    <w:rsid w:val="005D05C7"/>
    <w:rsid w:val="005D33F6"/>
    <w:rsid w:val="005D4320"/>
    <w:rsid w:val="005D4F6E"/>
    <w:rsid w:val="005D6B6E"/>
    <w:rsid w:val="005E24DC"/>
    <w:rsid w:val="005E318B"/>
    <w:rsid w:val="005E494D"/>
    <w:rsid w:val="005E662E"/>
    <w:rsid w:val="005E6BD7"/>
    <w:rsid w:val="005F27A0"/>
    <w:rsid w:val="00601913"/>
    <w:rsid w:val="0060421A"/>
    <w:rsid w:val="00611644"/>
    <w:rsid w:val="006259CC"/>
    <w:rsid w:val="006308CD"/>
    <w:rsid w:val="00634816"/>
    <w:rsid w:val="00634CC1"/>
    <w:rsid w:val="00635197"/>
    <w:rsid w:val="006363AA"/>
    <w:rsid w:val="0063758C"/>
    <w:rsid w:val="006449AD"/>
    <w:rsid w:val="006467F1"/>
    <w:rsid w:val="00647401"/>
    <w:rsid w:val="00652918"/>
    <w:rsid w:val="00652E1B"/>
    <w:rsid w:val="00653F32"/>
    <w:rsid w:val="00656BD4"/>
    <w:rsid w:val="006600DC"/>
    <w:rsid w:val="00660605"/>
    <w:rsid w:val="006622B7"/>
    <w:rsid w:val="00662E0D"/>
    <w:rsid w:val="0066383C"/>
    <w:rsid w:val="0066428B"/>
    <w:rsid w:val="00670C79"/>
    <w:rsid w:val="00670DA7"/>
    <w:rsid w:val="0067280E"/>
    <w:rsid w:val="0067373F"/>
    <w:rsid w:val="006737CE"/>
    <w:rsid w:val="00674168"/>
    <w:rsid w:val="00674E7A"/>
    <w:rsid w:val="00677B92"/>
    <w:rsid w:val="006803EA"/>
    <w:rsid w:val="006813E4"/>
    <w:rsid w:val="00683D39"/>
    <w:rsid w:val="00696435"/>
    <w:rsid w:val="006964C3"/>
    <w:rsid w:val="006A53C9"/>
    <w:rsid w:val="006B075E"/>
    <w:rsid w:val="006B0F3D"/>
    <w:rsid w:val="006C1EBB"/>
    <w:rsid w:val="006C3986"/>
    <w:rsid w:val="006C63AE"/>
    <w:rsid w:val="006C63C2"/>
    <w:rsid w:val="006C711B"/>
    <w:rsid w:val="006D07D6"/>
    <w:rsid w:val="006D37D0"/>
    <w:rsid w:val="006E4FBF"/>
    <w:rsid w:val="006F2F9D"/>
    <w:rsid w:val="006F350D"/>
    <w:rsid w:val="006F66B1"/>
    <w:rsid w:val="006F72EC"/>
    <w:rsid w:val="00705F15"/>
    <w:rsid w:val="00707949"/>
    <w:rsid w:val="007118D7"/>
    <w:rsid w:val="00713515"/>
    <w:rsid w:val="00720217"/>
    <w:rsid w:val="00721E13"/>
    <w:rsid w:val="00723AC4"/>
    <w:rsid w:val="00723BA7"/>
    <w:rsid w:val="00724EF9"/>
    <w:rsid w:val="007263F0"/>
    <w:rsid w:val="00726D70"/>
    <w:rsid w:val="00735154"/>
    <w:rsid w:val="00741AA7"/>
    <w:rsid w:val="007478F2"/>
    <w:rsid w:val="00757DD1"/>
    <w:rsid w:val="007600AE"/>
    <w:rsid w:val="00763CC1"/>
    <w:rsid w:val="007678A9"/>
    <w:rsid w:val="00774611"/>
    <w:rsid w:val="00784848"/>
    <w:rsid w:val="00784A78"/>
    <w:rsid w:val="00786699"/>
    <w:rsid w:val="00787457"/>
    <w:rsid w:val="00793B14"/>
    <w:rsid w:val="007949E0"/>
    <w:rsid w:val="007A4087"/>
    <w:rsid w:val="007A5914"/>
    <w:rsid w:val="007B37F8"/>
    <w:rsid w:val="007B66A7"/>
    <w:rsid w:val="007C16BF"/>
    <w:rsid w:val="007D383B"/>
    <w:rsid w:val="007D59C7"/>
    <w:rsid w:val="007D5B0F"/>
    <w:rsid w:val="007D6BE6"/>
    <w:rsid w:val="007E2F46"/>
    <w:rsid w:val="007E315C"/>
    <w:rsid w:val="007E6D8E"/>
    <w:rsid w:val="007E7000"/>
    <w:rsid w:val="007F14F5"/>
    <w:rsid w:val="007F7226"/>
    <w:rsid w:val="0080159B"/>
    <w:rsid w:val="008041B9"/>
    <w:rsid w:val="00810336"/>
    <w:rsid w:val="00812F1A"/>
    <w:rsid w:val="008147DC"/>
    <w:rsid w:val="00820027"/>
    <w:rsid w:val="00821135"/>
    <w:rsid w:val="00821A2E"/>
    <w:rsid w:val="00821E21"/>
    <w:rsid w:val="00822951"/>
    <w:rsid w:val="00823B92"/>
    <w:rsid w:val="00824F0E"/>
    <w:rsid w:val="008259E4"/>
    <w:rsid w:val="00830CBA"/>
    <w:rsid w:val="00833F5C"/>
    <w:rsid w:val="00834D8E"/>
    <w:rsid w:val="00843606"/>
    <w:rsid w:val="008438F3"/>
    <w:rsid w:val="00843E24"/>
    <w:rsid w:val="0084634B"/>
    <w:rsid w:val="0084657A"/>
    <w:rsid w:val="00847EA6"/>
    <w:rsid w:val="00857F6E"/>
    <w:rsid w:val="008619CE"/>
    <w:rsid w:val="008705E3"/>
    <w:rsid w:val="0087248D"/>
    <w:rsid w:val="00873608"/>
    <w:rsid w:val="00873E3D"/>
    <w:rsid w:val="008752C0"/>
    <w:rsid w:val="00881537"/>
    <w:rsid w:val="00883375"/>
    <w:rsid w:val="0089074E"/>
    <w:rsid w:val="008965DD"/>
    <w:rsid w:val="008A1CD6"/>
    <w:rsid w:val="008A2707"/>
    <w:rsid w:val="008A3EC9"/>
    <w:rsid w:val="008A45B5"/>
    <w:rsid w:val="008A4B30"/>
    <w:rsid w:val="008B2AA3"/>
    <w:rsid w:val="008B33C1"/>
    <w:rsid w:val="008B707D"/>
    <w:rsid w:val="008C1811"/>
    <w:rsid w:val="008C2535"/>
    <w:rsid w:val="008C471E"/>
    <w:rsid w:val="008C6322"/>
    <w:rsid w:val="008C7047"/>
    <w:rsid w:val="008D050C"/>
    <w:rsid w:val="008D498E"/>
    <w:rsid w:val="008E14AF"/>
    <w:rsid w:val="008E3D03"/>
    <w:rsid w:val="008E43D1"/>
    <w:rsid w:val="008E56F8"/>
    <w:rsid w:val="008E64CB"/>
    <w:rsid w:val="008F32CD"/>
    <w:rsid w:val="008F35A0"/>
    <w:rsid w:val="008F41E3"/>
    <w:rsid w:val="008F4914"/>
    <w:rsid w:val="009009A6"/>
    <w:rsid w:val="00905E05"/>
    <w:rsid w:val="009064F7"/>
    <w:rsid w:val="009079AE"/>
    <w:rsid w:val="00907A27"/>
    <w:rsid w:val="00907A95"/>
    <w:rsid w:val="00907AEA"/>
    <w:rsid w:val="00911BC0"/>
    <w:rsid w:val="0091403A"/>
    <w:rsid w:val="00915DA8"/>
    <w:rsid w:val="00916B41"/>
    <w:rsid w:val="009176B0"/>
    <w:rsid w:val="0092117E"/>
    <w:rsid w:val="00923B3E"/>
    <w:rsid w:val="009240BF"/>
    <w:rsid w:val="009276B0"/>
    <w:rsid w:val="00931AF0"/>
    <w:rsid w:val="00935C77"/>
    <w:rsid w:val="009377E2"/>
    <w:rsid w:val="009404CF"/>
    <w:rsid w:val="00947EA6"/>
    <w:rsid w:val="00953180"/>
    <w:rsid w:val="00954311"/>
    <w:rsid w:val="0096680B"/>
    <w:rsid w:val="00966D02"/>
    <w:rsid w:val="009678EA"/>
    <w:rsid w:val="00972192"/>
    <w:rsid w:val="00975D7D"/>
    <w:rsid w:val="009817E8"/>
    <w:rsid w:val="00982B95"/>
    <w:rsid w:val="00987A22"/>
    <w:rsid w:val="0099350E"/>
    <w:rsid w:val="00996E8E"/>
    <w:rsid w:val="009B71DC"/>
    <w:rsid w:val="009C238D"/>
    <w:rsid w:val="009C25D9"/>
    <w:rsid w:val="009C5EAE"/>
    <w:rsid w:val="009D4DAF"/>
    <w:rsid w:val="009E1366"/>
    <w:rsid w:val="009E29C9"/>
    <w:rsid w:val="009E5884"/>
    <w:rsid w:val="009E6591"/>
    <w:rsid w:val="009F22AF"/>
    <w:rsid w:val="009F327C"/>
    <w:rsid w:val="009F799C"/>
    <w:rsid w:val="00A112E7"/>
    <w:rsid w:val="00A20532"/>
    <w:rsid w:val="00A20814"/>
    <w:rsid w:val="00A225D0"/>
    <w:rsid w:val="00A24686"/>
    <w:rsid w:val="00A2708A"/>
    <w:rsid w:val="00A33926"/>
    <w:rsid w:val="00A34796"/>
    <w:rsid w:val="00A35590"/>
    <w:rsid w:val="00A4290C"/>
    <w:rsid w:val="00A42D45"/>
    <w:rsid w:val="00A44D23"/>
    <w:rsid w:val="00A63839"/>
    <w:rsid w:val="00A6445C"/>
    <w:rsid w:val="00A6751F"/>
    <w:rsid w:val="00A749BF"/>
    <w:rsid w:val="00A74CC6"/>
    <w:rsid w:val="00A76DC3"/>
    <w:rsid w:val="00A80E81"/>
    <w:rsid w:val="00A822B2"/>
    <w:rsid w:val="00A82B71"/>
    <w:rsid w:val="00A83729"/>
    <w:rsid w:val="00A87739"/>
    <w:rsid w:val="00A93216"/>
    <w:rsid w:val="00A93F34"/>
    <w:rsid w:val="00A97519"/>
    <w:rsid w:val="00AA279E"/>
    <w:rsid w:val="00AA59A0"/>
    <w:rsid w:val="00AA6FD4"/>
    <w:rsid w:val="00AB2920"/>
    <w:rsid w:val="00AC3642"/>
    <w:rsid w:val="00AD4DD2"/>
    <w:rsid w:val="00AE1333"/>
    <w:rsid w:val="00AF060E"/>
    <w:rsid w:val="00AF79CB"/>
    <w:rsid w:val="00AF7F1E"/>
    <w:rsid w:val="00B01639"/>
    <w:rsid w:val="00B07D81"/>
    <w:rsid w:val="00B174D2"/>
    <w:rsid w:val="00B216CF"/>
    <w:rsid w:val="00B21946"/>
    <w:rsid w:val="00B262C8"/>
    <w:rsid w:val="00B30D09"/>
    <w:rsid w:val="00B34C51"/>
    <w:rsid w:val="00B41404"/>
    <w:rsid w:val="00B41EA1"/>
    <w:rsid w:val="00B505F9"/>
    <w:rsid w:val="00B510BF"/>
    <w:rsid w:val="00B531AB"/>
    <w:rsid w:val="00B651E4"/>
    <w:rsid w:val="00B72438"/>
    <w:rsid w:val="00B87179"/>
    <w:rsid w:val="00B9048A"/>
    <w:rsid w:val="00B93B50"/>
    <w:rsid w:val="00BA3D5F"/>
    <w:rsid w:val="00BA47F0"/>
    <w:rsid w:val="00BA4E0F"/>
    <w:rsid w:val="00BB2E04"/>
    <w:rsid w:val="00BB34E3"/>
    <w:rsid w:val="00BB5721"/>
    <w:rsid w:val="00BB69DB"/>
    <w:rsid w:val="00BD0CCE"/>
    <w:rsid w:val="00BD4914"/>
    <w:rsid w:val="00BD55B7"/>
    <w:rsid w:val="00BE0572"/>
    <w:rsid w:val="00BE20C3"/>
    <w:rsid w:val="00BF0642"/>
    <w:rsid w:val="00BF21B1"/>
    <w:rsid w:val="00BF29AC"/>
    <w:rsid w:val="00C005BC"/>
    <w:rsid w:val="00C01DF1"/>
    <w:rsid w:val="00C1070D"/>
    <w:rsid w:val="00C10B3B"/>
    <w:rsid w:val="00C11ECE"/>
    <w:rsid w:val="00C129DE"/>
    <w:rsid w:val="00C16B79"/>
    <w:rsid w:val="00C224C0"/>
    <w:rsid w:val="00C249F4"/>
    <w:rsid w:val="00C31BB5"/>
    <w:rsid w:val="00C51826"/>
    <w:rsid w:val="00C55F9D"/>
    <w:rsid w:val="00C57FF1"/>
    <w:rsid w:val="00C60145"/>
    <w:rsid w:val="00C62223"/>
    <w:rsid w:val="00C76128"/>
    <w:rsid w:val="00C8303E"/>
    <w:rsid w:val="00C83C7F"/>
    <w:rsid w:val="00C84EC9"/>
    <w:rsid w:val="00C87826"/>
    <w:rsid w:val="00C9066A"/>
    <w:rsid w:val="00C90AE0"/>
    <w:rsid w:val="00CA560E"/>
    <w:rsid w:val="00CB09CE"/>
    <w:rsid w:val="00CB6C17"/>
    <w:rsid w:val="00CB7304"/>
    <w:rsid w:val="00CB78C4"/>
    <w:rsid w:val="00CC1CB4"/>
    <w:rsid w:val="00CD2EA0"/>
    <w:rsid w:val="00CD681E"/>
    <w:rsid w:val="00CE2716"/>
    <w:rsid w:val="00CE461E"/>
    <w:rsid w:val="00CE699E"/>
    <w:rsid w:val="00CE7B3A"/>
    <w:rsid w:val="00CF5CDF"/>
    <w:rsid w:val="00CF7D07"/>
    <w:rsid w:val="00D00E94"/>
    <w:rsid w:val="00D03109"/>
    <w:rsid w:val="00D04219"/>
    <w:rsid w:val="00D042B9"/>
    <w:rsid w:val="00D075C8"/>
    <w:rsid w:val="00D100AF"/>
    <w:rsid w:val="00D24521"/>
    <w:rsid w:val="00D27C6F"/>
    <w:rsid w:val="00D43767"/>
    <w:rsid w:val="00D4461C"/>
    <w:rsid w:val="00D501A1"/>
    <w:rsid w:val="00D52251"/>
    <w:rsid w:val="00D60512"/>
    <w:rsid w:val="00D60B36"/>
    <w:rsid w:val="00D61D54"/>
    <w:rsid w:val="00D63CCB"/>
    <w:rsid w:val="00D65E59"/>
    <w:rsid w:val="00D7055A"/>
    <w:rsid w:val="00D73D1F"/>
    <w:rsid w:val="00D7465B"/>
    <w:rsid w:val="00D8203D"/>
    <w:rsid w:val="00D903E2"/>
    <w:rsid w:val="00D9055C"/>
    <w:rsid w:val="00D90C50"/>
    <w:rsid w:val="00D93260"/>
    <w:rsid w:val="00D934F0"/>
    <w:rsid w:val="00D94754"/>
    <w:rsid w:val="00D94C5D"/>
    <w:rsid w:val="00DA3DF4"/>
    <w:rsid w:val="00DA48DA"/>
    <w:rsid w:val="00DB02E7"/>
    <w:rsid w:val="00DB19FF"/>
    <w:rsid w:val="00DB1F3F"/>
    <w:rsid w:val="00DB2168"/>
    <w:rsid w:val="00DB456B"/>
    <w:rsid w:val="00DB67FA"/>
    <w:rsid w:val="00DB6D2A"/>
    <w:rsid w:val="00DB715E"/>
    <w:rsid w:val="00DB71DB"/>
    <w:rsid w:val="00DC2152"/>
    <w:rsid w:val="00DC663A"/>
    <w:rsid w:val="00DC7E22"/>
    <w:rsid w:val="00DD0632"/>
    <w:rsid w:val="00DD2A09"/>
    <w:rsid w:val="00DD31EE"/>
    <w:rsid w:val="00DD3B2B"/>
    <w:rsid w:val="00DE7345"/>
    <w:rsid w:val="00DF3D29"/>
    <w:rsid w:val="00DF6EFD"/>
    <w:rsid w:val="00E000E2"/>
    <w:rsid w:val="00E020B4"/>
    <w:rsid w:val="00E07299"/>
    <w:rsid w:val="00E12162"/>
    <w:rsid w:val="00E1237D"/>
    <w:rsid w:val="00E15FE2"/>
    <w:rsid w:val="00E17A0A"/>
    <w:rsid w:val="00E20EAD"/>
    <w:rsid w:val="00E2114F"/>
    <w:rsid w:val="00E27D5F"/>
    <w:rsid w:val="00E41838"/>
    <w:rsid w:val="00E44A2E"/>
    <w:rsid w:val="00E51C99"/>
    <w:rsid w:val="00E52E82"/>
    <w:rsid w:val="00E541DB"/>
    <w:rsid w:val="00E54F18"/>
    <w:rsid w:val="00E61936"/>
    <w:rsid w:val="00E64002"/>
    <w:rsid w:val="00E661DA"/>
    <w:rsid w:val="00E666A2"/>
    <w:rsid w:val="00E676F8"/>
    <w:rsid w:val="00E6795C"/>
    <w:rsid w:val="00E72D9D"/>
    <w:rsid w:val="00E760AA"/>
    <w:rsid w:val="00E806D4"/>
    <w:rsid w:val="00E85FC6"/>
    <w:rsid w:val="00E963FB"/>
    <w:rsid w:val="00E975A8"/>
    <w:rsid w:val="00EA29A3"/>
    <w:rsid w:val="00EA543D"/>
    <w:rsid w:val="00EB025B"/>
    <w:rsid w:val="00EB198B"/>
    <w:rsid w:val="00EB2240"/>
    <w:rsid w:val="00EC3531"/>
    <w:rsid w:val="00ED4506"/>
    <w:rsid w:val="00ED5D29"/>
    <w:rsid w:val="00EE46DE"/>
    <w:rsid w:val="00EE7541"/>
    <w:rsid w:val="00EE79AE"/>
    <w:rsid w:val="00EF067B"/>
    <w:rsid w:val="00EF0CD0"/>
    <w:rsid w:val="00EF2A2C"/>
    <w:rsid w:val="00EF30E5"/>
    <w:rsid w:val="00EF5746"/>
    <w:rsid w:val="00EF587D"/>
    <w:rsid w:val="00F0098C"/>
    <w:rsid w:val="00F06D25"/>
    <w:rsid w:val="00F1512E"/>
    <w:rsid w:val="00F232DE"/>
    <w:rsid w:val="00F24977"/>
    <w:rsid w:val="00F24B2C"/>
    <w:rsid w:val="00F26279"/>
    <w:rsid w:val="00F2705F"/>
    <w:rsid w:val="00F27C6C"/>
    <w:rsid w:val="00F33BDF"/>
    <w:rsid w:val="00F37A62"/>
    <w:rsid w:val="00F45A78"/>
    <w:rsid w:val="00F468B8"/>
    <w:rsid w:val="00F52D4D"/>
    <w:rsid w:val="00F52E60"/>
    <w:rsid w:val="00F618F1"/>
    <w:rsid w:val="00F650D3"/>
    <w:rsid w:val="00F6643C"/>
    <w:rsid w:val="00F73D39"/>
    <w:rsid w:val="00F7454F"/>
    <w:rsid w:val="00F8335E"/>
    <w:rsid w:val="00F943CE"/>
    <w:rsid w:val="00F9478D"/>
    <w:rsid w:val="00FA062B"/>
    <w:rsid w:val="00FA1077"/>
    <w:rsid w:val="00FA21AA"/>
    <w:rsid w:val="00FA47DC"/>
    <w:rsid w:val="00FA6179"/>
    <w:rsid w:val="00FA66DE"/>
    <w:rsid w:val="00FB071A"/>
    <w:rsid w:val="00FB1A16"/>
    <w:rsid w:val="00FB1A1C"/>
    <w:rsid w:val="00FB2692"/>
    <w:rsid w:val="00FB5FAE"/>
    <w:rsid w:val="00FB676B"/>
    <w:rsid w:val="00FB743A"/>
    <w:rsid w:val="00FD0D95"/>
    <w:rsid w:val="00FD5713"/>
    <w:rsid w:val="00FD6CF0"/>
    <w:rsid w:val="00FD7CF9"/>
    <w:rsid w:val="00FE0185"/>
    <w:rsid w:val="00FE39A9"/>
    <w:rsid w:val="00FF1D41"/>
    <w:rsid w:val="00FF2CC0"/>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B0C71869-46FB-4FDC-B9AF-0385D5D42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99"/>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semiHidden/>
    <w:unhideWhenUsed/>
    <w:rsid w:val="001B7961"/>
    <w:rPr>
      <w:color w:val="0000FF"/>
      <w:u w:val="single"/>
    </w:rPr>
  </w:style>
  <w:style w:type="character" w:customStyle="1" w:styleId="slgi">
    <w:name w:val="s_lgi"/>
    <w:basedOn w:val="DefaultParagraphFont"/>
    <w:rsid w:val="00EF0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706BB-B9AC-45A9-96F7-E05AF5D9D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2676</Words>
  <Characters>15255</Characters>
  <Application>Microsoft Office Word</Application>
  <DocSecurity>0</DocSecurity>
  <Lines>127</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user </cp:lastModifiedBy>
  <cp:revision>5</cp:revision>
  <cp:lastPrinted>2020-09-29T10:04:00Z</cp:lastPrinted>
  <dcterms:created xsi:type="dcterms:W3CDTF">2020-10-20T10:07:00Z</dcterms:created>
  <dcterms:modified xsi:type="dcterms:W3CDTF">2020-10-20T13:14:00Z</dcterms:modified>
</cp:coreProperties>
</file>